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2"/>
        <w:gridCol w:w="1223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陕西宏基混凝土构件有限责任公司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2.4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原材料进场→ 砼配比设计及砼性能试验 → 计量，搅拌生产过程 → 运输管理 → 泵送施工 →  协助需方对混凝土进行养护指导 → 质量回访及售后服务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能源的消耗及控制措施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：主要消耗的能源为电力和柴、汽油；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能源的来源：电力，来源于政府供电部门及本公司自己发电；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柴、汽油</w:t>
            </w:r>
            <w:r>
              <w:rPr>
                <w:rFonts w:hint="eastAsia" w:ascii="宋体" w:hAnsi="宋体"/>
                <w:sz w:val="21"/>
                <w:szCs w:val="21"/>
              </w:rPr>
              <w:t>，来源于市政加油站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经统计分析，本公司主要消耗的能源为电力，主要用于水泥生产加工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柴油，主要用于水泥搅拌运输；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主要耗能设备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混凝土搅拌站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、发电机、</w:t>
            </w:r>
            <w:r>
              <w:rPr>
                <w:rFonts w:hint="eastAsia" w:ascii="宋体" w:hAnsi="宋体"/>
                <w:sz w:val="21"/>
                <w:szCs w:val="21"/>
              </w:rPr>
              <w:t>动混机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行星机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强力高速分散机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连续化生产线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空调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预拌混凝土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GB14902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混凝土质量控制标准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GB50164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混凝土强度检验评定标准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 50107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普通混凝土配合比设计规程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JGJ55-2011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普通混凝土拌和物性能试验方法标准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GB/T50080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普通混凝土力学性能试验方法标准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GB/T50081-2002 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普通混凝土长期性能和耐久性能试验方法标准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GB/T50082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电能表、水表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106680</wp:posOffset>
            </wp:positionV>
            <wp:extent cx="347980" cy="267335"/>
            <wp:effectExtent l="0" t="0" r="7620" b="1206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24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24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DF1F62"/>
    <w:rsid w:val="1B6B2D33"/>
    <w:rsid w:val="2AB94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2021-03-27T14:47:50Z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8CCB2ABDF40F4B45B594C4694EE1F2E5</vt:lpwstr>
  </property>
</Properties>
</file>