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346"/>
        <w:gridCol w:w="780"/>
        <w:gridCol w:w="776"/>
        <w:gridCol w:w="642"/>
        <w:gridCol w:w="425"/>
        <w:gridCol w:w="425"/>
        <w:gridCol w:w="28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陕西宏基混凝土构件有限责任公司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0151-2021-EnMS</w:t>
            </w:r>
            <w:bookmarkEnd w:id="1"/>
          </w:p>
        </w:tc>
        <w:tc>
          <w:tcPr>
            <w:tcW w:w="1488" w:type="dxa"/>
            <w:gridSpan w:val="2"/>
            <w:vAlign w:val="center"/>
          </w:tcPr>
          <w:p>
            <w:pPr>
              <w:rPr>
                <w:sz w:val="21"/>
                <w:szCs w:val="21"/>
              </w:rPr>
            </w:pPr>
            <w:r>
              <w:rPr>
                <w:rFonts w:hint="eastAsia"/>
                <w:sz w:val="21"/>
                <w:szCs w:val="21"/>
              </w:rPr>
              <w:t>审核领域</w:t>
            </w:r>
          </w:p>
        </w:tc>
        <w:tc>
          <w:tcPr>
            <w:tcW w:w="4702"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尉晓光</w:t>
            </w:r>
            <w:bookmarkEnd w:id="5"/>
          </w:p>
        </w:tc>
        <w:tc>
          <w:tcPr>
            <w:tcW w:w="1488" w:type="dxa"/>
            <w:gridSpan w:val="2"/>
            <w:vAlign w:val="center"/>
          </w:tcPr>
          <w:p>
            <w:pPr>
              <w:rPr>
                <w:sz w:val="21"/>
                <w:szCs w:val="21"/>
              </w:rPr>
            </w:pPr>
            <w:r>
              <w:rPr>
                <w:rFonts w:hint="eastAsia"/>
                <w:sz w:val="21"/>
                <w:szCs w:val="21"/>
              </w:rPr>
              <w:t>联系电话</w:t>
            </w:r>
          </w:p>
        </w:tc>
        <w:tc>
          <w:tcPr>
            <w:tcW w:w="1556" w:type="dxa"/>
            <w:gridSpan w:val="2"/>
            <w:vAlign w:val="center"/>
          </w:tcPr>
          <w:p>
            <w:pPr>
              <w:rPr>
                <w:sz w:val="21"/>
                <w:szCs w:val="21"/>
              </w:rPr>
            </w:pPr>
            <w:bookmarkStart w:id="6" w:name="联系人电话"/>
            <w:r>
              <w:rPr>
                <w:sz w:val="21"/>
                <w:szCs w:val="21"/>
              </w:rPr>
              <w:t>18092788011</w:t>
            </w:r>
            <w:bookmarkEnd w:id="6"/>
          </w:p>
        </w:tc>
        <w:tc>
          <w:tcPr>
            <w:tcW w:w="1067"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28323791@qq.com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488" w:type="dxa"/>
            <w:gridSpan w:val="2"/>
            <w:vAlign w:val="center"/>
          </w:tcPr>
          <w:p>
            <w:pPr>
              <w:rPr>
                <w:sz w:val="21"/>
                <w:szCs w:val="21"/>
              </w:rPr>
            </w:pPr>
            <w:r>
              <w:rPr>
                <w:rFonts w:hint="eastAsia"/>
                <w:sz w:val="21"/>
                <w:szCs w:val="21"/>
              </w:rPr>
              <w:t>传真</w:t>
            </w:r>
          </w:p>
        </w:tc>
        <w:tc>
          <w:tcPr>
            <w:tcW w:w="1556" w:type="dxa"/>
            <w:gridSpan w:val="2"/>
            <w:vAlign w:val="center"/>
          </w:tcPr>
          <w:p>
            <w:bookmarkStart w:id="9" w:name="联系人传真"/>
            <w:bookmarkEnd w:id="9"/>
          </w:p>
        </w:tc>
        <w:tc>
          <w:tcPr>
            <w:tcW w:w="1067"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位于陕西省西安市长安区韦曲街道办事处枣园村，涉及商品混凝土、水泥建筑制品、建筑材料生产和运输所涉及的能源管理活动。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pPr>
              <w:ind w:firstLine="480" w:firstLineChars="200"/>
            </w:pPr>
            <w:bookmarkStart w:id="11" w:name="专业代码"/>
            <w:r>
              <w:t>2.4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gridSpan w:val="3"/>
            <w:vAlign w:val="center"/>
          </w:tcPr>
          <w:p>
            <w:r>
              <w:rPr>
                <w:rFonts w:hint="eastAsia"/>
              </w:rPr>
              <w:t>审核准则</w:t>
            </w:r>
          </w:p>
        </w:tc>
        <w:tc>
          <w:tcPr>
            <w:tcW w:w="8741" w:type="dxa"/>
            <w:gridSpan w:val="13"/>
            <w:vAlign w:val="center"/>
          </w:tcPr>
          <w:p>
            <w:pPr>
              <w:rPr>
                <w:rFonts w:hint="default" w:ascii="宋体" w:hAnsi="宋体" w:eastAsia="宋体"/>
                <w:b/>
                <w:sz w:val="21"/>
                <w:szCs w:val="21"/>
                <w:lang w:val="en-US" w:eastAsia="zh-CN"/>
              </w:rPr>
            </w:pPr>
            <w:bookmarkStart w:id="12" w:name="审核依据"/>
            <w:r>
              <w:rPr>
                <w:rFonts w:hint="eastAsia" w:ascii="宋体" w:hAnsi="宋体"/>
                <w:b/>
                <w:sz w:val="21"/>
                <w:szCs w:val="21"/>
              </w:rPr>
              <w:t>ISO50001:2018</w:t>
            </w:r>
            <w:bookmarkEnd w:id="12"/>
            <w:r>
              <w:rPr>
                <w:rFonts w:hint="eastAsia" w:ascii="宋体" w:hAnsi="宋体"/>
                <w:b/>
                <w:sz w:val="21"/>
                <w:szCs w:val="21"/>
                <w:lang w:val="en-US" w:eastAsia="zh-CN"/>
              </w:rPr>
              <w:t xml:space="preserve">     </w:t>
            </w:r>
            <w:r>
              <w:rPr>
                <w:rFonts w:hint="eastAsia" w:ascii="Times New Roman" w:hAnsi="Times New Roman" w:cs="Times New Roman"/>
                <w:b/>
                <w:color w:val="FF0000"/>
                <w:sz w:val="22"/>
                <w:szCs w:val="22"/>
                <w:u w:val="single"/>
                <w:lang w:val="en-US" w:eastAsia="zh-CN"/>
              </w:rPr>
              <w:t>RB/T 106-2013 能源管理体系 水泥企业认证要求</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2021年03月25日 下午至2021年03月26日 上午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044" w:type="dxa"/>
            <w:gridSpan w:val="4"/>
            <w:vAlign w:val="center"/>
          </w:tcPr>
          <w:p>
            <w:pPr>
              <w:jc w:val="center"/>
              <w:rPr>
                <w:sz w:val="21"/>
                <w:szCs w:val="21"/>
              </w:rPr>
            </w:pPr>
            <w:r>
              <w:rPr>
                <w:rFonts w:hint="eastAsia"/>
                <w:sz w:val="21"/>
                <w:szCs w:val="21"/>
              </w:rPr>
              <w:t>专业代码</w:t>
            </w:r>
          </w:p>
        </w:tc>
        <w:tc>
          <w:tcPr>
            <w:tcW w:w="1777" w:type="dxa"/>
            <w:gridSpan w:val="4"/>
            <w:vAlign w:val="center"/>
          </w:tcPr>
          <w:p>
            <w:pPr>
              <w:jc w:val="center"/>
              <w:rPr>
                <w:sz w:val="21"/>
                <w:szCs w:val="21"/>
              </w:rPr>
            </w:pPr>
            <w:r>
              <w:rPr>
                <w:rFonts w:hint="eastAsia"/>
                <w:sz w:val="21"/>
                <w:szCs w:val="21"/>
              </w:rPr>
              <w:t>联系电话</w:t>
            </w:r>
          </w:p>
        </w:tc>
        <w:tc>
          <w:tcPr>
            <w:tcW w:w="136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3044" w:type="dxa"/>
            <w:gridSpan w:val="4"/>
            <w:vAlign w:val="center"/>
          </w:tcPr>
          <w:p>
            <w:pPr>
              <w:jc w:val="center"/>
              <w:rPr>
                <w:sz w:val="21"/>
                <w:szCs w:val="21"/>
              </w:rPr>
            </w:pPr>
          </w:p>
        </w:tc>
        <w:tc>
          <w:tcPr>
            <w:tcW w:w="1777" w:type="dxa"/>
            <w:gridSpan w:val="4"/>
            <w:vAlign w:val="center"/>
          </w:tcPr>
          <w:p>
            <w:pPr>
              <w:jc w:val="center"/>
              <w:rPr>
                <w:sz w:val="21"/>
                <w:szCs w:val="21"/>
              </w:rPr>
            </w:pPr>
            <w:r>
              <w:rPr>
                <w:sz w:val="21"/>
                <w:szCs w:val="21"/>
              </w:rPr>
              <w:t>13863734938</w:t>
            </w:r>
          </w:p>
        </w:tc>
        <w:tc>
          <w:tcPr>
            <w:tcW w:w="1369" w:type="dxa"/>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姜小清</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3044" w:type="dxa"/>
            <w:gridSpan w:val="4"/>
            <w:vAlign w:val="center"/>
          </w:tcPr>
          <w:p>
            <w:pPr>
              <w:jc w:val="center"/>
              <w:rPr>
                <w:sz w:val="21"/>
                <w:szCs w:val="21"/>
              </w:rPr>
            </w:pPr>
          </w:p>
        </w:tc>
        <w:tc>
          <w:tcPr>
            <w:tcW w:w="1777" w:type="dxa"/>
            <w:gridSpan w:val="4"/>
            <w:vAlign w:val="center"/>
          </w:tcPr>
          <w:p>
            <w:pPr>
              <w:jc w:val="center"/>
              <w:rPr>
                <w:sz w:val="21"/>
                <w:szCs w:val="21"/>
              </w:rPr>
            </w:pPr>
            <w:r>
              <w:rPr>
                <w:sz w:val="21"/>
                <w:szCs w:val="21"/>
              </w:rPr>
              <w:t>13801208638</w:t>
            </w:r>
          </w:p>
        </w:tc>
        <w:tc>
          <w:tcPr>
            <w:tcW w:w="1369" w:type="dxa"/>
            <w:vAlign w:val="center"/>
          </w:tcPr>
          <w:p>
            <w:pPr>
              <w:jc w:val="center"/>
              <w:rPr>
                <w:sz w:val="21"/>
                <w:szCs w:val="21"/>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李俐</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专家</w:t>
            </w:r>
          </w:p>
        </w:tc>
        <w:tc>
          <w:tcPr>
            <w:tcW w:w="3044" w:type="dxa"/>
            <w:gridSpan w:val="4"/>
            <w:vAlign w:val="center"/>
          </w:tcPr>
          <w:p>
            <w:pPr>
              <w:jc w:val="center"/>
              <w:rPr>
                <w:sz w:val="21"/>
                <w:szCs w:val="21"/>
              </w:rPr>
            </w:pPr>
            <w:r>
              <w:rPr>
                <w:sz w:val="21"/>
                <w:szCs w:val="21"/>
              </w:rPr>
              <w:t>2.4</w:t>
            </w:r>
          </w:p>
        </w:tc>
        <w:tc>
          <w:tcPr>
            <w:tcW w:w="1777" w:type="dxa"/>
            <w:gridSpan w:val="4"/>
            <w:vAlign w:val="center"/>
          </w:tcPr>
          <w:p>
            <w:pPr>
              <w:jc w:val="center"/>
              <w:rPr>
                <w:sz w:val="21"/>
                <w:szCs w:val="21"/>
              </w:rPr>
            </w:pPr>
            <w:r>
              <w:rPr>
                <w:sz w:val="21"/>
                <w:szCs w:val="21"/>
              </w:rPr>
              <w:t>13709207775、15389253253</w:t>
            </w:r>
          </w:p>
        </w:tc>
        <w:tc>
          <w:tcPr>
            <w:tcW w:w="1369" w:type="dxa"/>
            <w:vAlign w:val="center"/>
          </w:tcPr>
          <w:p>
            <w:pPr>
              <w:jc w:val="center"/>
              <w:rPr>
                <w:sz w:val="21"/>
                <w:szCs w:val="21"/>
              </w:rPr>
            </w:pPr>
            <w:r>
              <w:rPr>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widowControl/>
        <w:jc w:val="left"/>
      </w:pPr>
    </w:p>
    <w:p>
      <w:pPr>
        <w:widowControl/>
        <w:jc w:val="left"/>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959"/>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95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018"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2021.3.25</w:t>
            </w: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2021.3.2</w:t>
            </w:r>
            <w:r>
              <w:rPr>
                <w:rFonts w:hint="eastAsia" w:cs="Times New Roman"/>
                <w:sz w:val="18"/>
                <w:szCs w:val="18"/>
                <w:lang w:val="en-US" w:eastAsia="zh-CN"/>
              </w:rPr>
              <w:t>6</w:t>
            </w: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2021.3.25</w:t>
            </w: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2021.3.2</w:t>
            </w:r>
            <w:r>
              <w:rPr>
                <w:rFonts w:hint="eastAsia" w:cs="Times New Roman"/>
                <w:sz w:val="18"/>
                <w:szCs w:val="18"/>
                <w:lang w:val="en-US" w:eastAsia="zh-CN"/>
              </w:rPr>
              <w:t>6</w:t>
            </w:r>
          </w:p>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13</w:t>
            </w:r>
            <w:r>
              <w:rPr>
                <w:rFonts w:hint="eastAsia" w:cs="Times New Roman"/>
                <w:sz w:val="18"/>
                <w:szCs w:val="18"/>
                <w:lang w:val="en-US" w:eastAsia="zh-CN"/>
              </w:rPr>
              <w:t>:</w:t>
            </w:r>
            <w:r>
              <w:rPr>
                <w:rFonts w:hint="eastAsia" w:ascii="Times New Roman" w:hAnsi="Times New Roman" w:cs="Times New Roman"/>
                <w:sz w:val="18"/>
                <w:szCs w:val="18"/>
                <w:lang w:val="en-US" w:eastAsia="zh-CN"/>
              </w:rPr>
              <w:t>00-13</w:t>
            </w:r>
            <w:r>
              <w:rPr>
                <w:rFonts w:hint="eastAsia" w:cs="Times New Roman"/>
                <w:sz w:val="18"/>
                <w:szCs w:val="18"/>
                <w:lang w:val="en-US" w:eastAsia="zh-CN"/>
              </w:rPr>
              <w:t>:</w:t>
            </w:r>
            <w:r>
              <w:rPr>
                <w:rFonts w:hint="eastAsia" w:ascii="Times New Roman" w:hAnsi="Times New Roman" w:cs="Times New Roman"/>
                <w:sz w:val="18"/>
                <w:szCs w:val="18"/>
                <w:lang w:val="en-US" w:eastAsia="zh-CN"/>
              </w:rPr>
              <w:t>30</w:t>
            </w:r>
          </w:p>
        </w:tc>
        <w:tc>
          <w:tcPr>
            <w:tcW w:w="6959"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018" w:type="dxa"/>
            <w:tcBorders>
              <w:right w:val="single" w:color="auto" w:sz="8" w:space="0"/>
            </w:tcBorders>
            <w:vAlign w:val="center"/>
          </w:tcPr>
          <w:p>
            <w:pPr>
              <w:ind w:firstLine="180" w:firstLineChars="100"/>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13</w:t>
            </w:r>
            <w:r>
              <w:rPr>
                <w:rFonts w:hint="eastAsia" w:cs="Times New Roman"/>
                <w:sz w:val="18"/>
                <w:szCs w:val="18"/>
                <w:lang w:val="en-US" w:eastAsia="zh-CN"/>
              </w:rPr>
              <w:t>:</w:t>
            </w:r>
            <w:r>
              <w:rPr>
                <w:rFonts w:hint="eastAsia" w:ascii="Times New Roman" w:hAnsi="Times New Roman" w:cs="Times New Roman"/>
                <w:sz w:val="18"/>
                <w:szCs w:val="18"/>
                <w:lang w:val="en-US" w:eastAsia="zh-CN"/>
              </w:rPr>
              <w:t>30-</w:t>
            </w:r>
            <w:r>
              <w:rPr>
                <w:rFonts w:hint="eastAsia" w:cs="Times New Roman"/>
                <w:sz w:val="18"/>
                <w:szCs w:val="18"/>
                <w:lang w:val="en-US" w:eastAsia="zh-CN"/>
              </w:rPr>
              <w:t>15:</w:t>
            </w:r>
            <w:r>
              <w:rPr>
                <w:rFonts w:hint="eastAsia" w:ascii="Times New Roman" w:hAnsi="Times New Roman" w:cs="Times New Roman"/>
                <w:sz w:val="18"/>
                <w:szCs w:val="18"/>
                <w:lang w:val="en-US" w:eastAsia="zh-CN"/>
              </w:rPr>
              <w:t>30</w:t>
            </w:r>
          </w:p>
        </w:tc>
        <w:tc>
          <w:tcPr>
            <w:tcW w:w="695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018" w:type="dxa"/>
            <w:tcBorders>
              <w:right w:val="single" w:color="auto" w:sz="8" w:space="0"/>
            </w:tcBorders>
            <w:vAlign w:val="center"/>
          </w:tcPr>
          <w:p>
            <w:pP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5:</w:t>
            </w:r>
            <w:r>
              <w:rPr>
                <w:rFonts w:hint="eastAsia" w:ascii="Times New Roman" w:hAnsi="Times New Roman" w:cs="Times New Roman"/>
                <w:sz w:val="18"/>
                <w:szCs w:val="18"/>
                <w:lang w:val="en-US" w:eastAsia="zh-CN"/>
              </w:rPr>
              <w:t>30-</w:t>
            </w:r>
            <w:r>
              <w:rPr>
                <w:rFonts w:hint="eastAsia" w:cs="Times New Roman"/>
                <w:sz w:val="18"/>
                <w:szCs w:val="18"/>
                <w:lang w:val="en-US" w:eastAsia="zh-CN"/>
              </w:rPr>
              <w:t>17:</w:t>
            </w:r>
            <w:r>
              <w:rPr>
                <w:rFonts w:hint="eastAsia" w:ascii="Times New Roman" w:hAnsi="Times New Roman" w:cs="Times New Roman"/>
                <w:sz w:val="18"/>
                <w:szCs w:val="18"/>
                <w:lang w:val="en-US" w:eastAsia="zh-CN"/>
              </w:rPr>
              <w:t>30</w:t>
            </w:r>
          </w:p>
        </w:tc>
        <w:tc>
          <w:tcPr>
            <w:tcW w:w="695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018" w:type="dxa"/>
            <w:tcBorders>
              <w:right w:val="single" w:color="auto" w:sz="8" w:space="0"/>
            </w:tcBorders>
            <w:vAlign w:val="center"/>
          </w:tcPr>
          <w:p>
            <w:pPr>
              <w:rPr>
                <w:rFonts w:hint="eastAsia" w:cs="Times New Roman"/>
                <w:sz w:val="18"/>
                <w:szCs w:val="18"/>
                <w:lang w:val="en-US" w:eastAsia="zh-CN"/>
              </w:rPr>
            </w:pPr>
            <w:r>
              <w:rPr>
                <w:rFonts w:hint="eastAsia" w:cs="Times New Roman"/>
                <w:sz w:val="18"/>
                <w:szCs w:val="18"/>
                <w:lang w:val="en-US" w:eastAsia="zh-CN"/>
              </w:rPr>
              <w:t>A</w:t>
            </w:r>
          </w:p>
          <w:p>
            <w:pPr>
              <w:rPr>
                <w:rFonts w:hint="eastAsia"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8</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r>
              <w:rPr>
                <w:rFonts w:hint="eastAsia" w:cs="Times New Roman"/>
                <w:sz w:val="18"/>
                <w:szCs w:val="18"/>
                <w:lang w:val="en-US" w:eastAsia="zh-CN"/>
              </w:rPr>
              <w:t>10:1</w:t>
            </w:r>
            <w:r>
              <w:rPr>
                <w:rFonts w:hint="eastAsia" w:ascii="Times New Roman" w:hAnsi="Times New Roman" w:cs="Times New Roman"/>
                <w:sz w:val="18"/>
                <w:szCs w:val="18"/>
                <w:lang w:val="en-US" w:eastAsia="zh-CN"/>
              </w:rPr>
              <w:t>0</w:t>
            </w:r>
          </w:p>
        </w:tc>
        <w:tc>
          <w:tcPr>
            <w:tcW w:w="695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018" w:type="dxa"/>
            <w:tcBorders>
              <w:right w:val="single" w:color="auto" w:sz="8" w:space="0"/>
            </w:tcBorders>
            <w:vAlign w:val="center"/>
          </w:tcPr>
          <w:p>
            <w:pPr>
              <w:rPr>
                <w:rFonts w:hint="eastAsia" w:cs="Times New Roman"/>
                <w:sz w:val="18"/>
                <w:szCs w:val="18"/>
                <w:lang w:val="en-US" w:eastAsia="zh-CN"/>
              </w:rPr>
            </w:pPr>
            <w:r>
              <w:rPr>
                <w:rFonts w:hint="eastAsia" w:cs="Times New Roman"/>
                <w:sz w:val="18"/>
                <w:szCs w:val="18"/>
                <w:lang w:val="en-US" w:eastAsia="zh-CN"/>
              </w:rPr>
              <w:t>A</w:t>
            </w:r>
          </w:p>
          <w:p>
            <w:pPr>
              <w:rPr>
                <w:rFonts w:hint="eastAsia"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10:0</w:t>
            </w:r>
            <w:r>
              <w:rPr>
                <w:rFonts w:hint="eastAsia" w:ascii="Times New Roman" w:hAnsi="Times New Roman" w:cs="Times New Roman"/>
                <w:sz w:val="18"/>
                <w:szCs w:val="18"/>
                <w:lang w:val="en-US" w:eastAsia="zh-CN"/>
              </w:rPr>
              <w:t>0-</w:t>
            </w:r>
            <w:r>
              <w:rPr>
                <w:rFonts w:hint="eastAsia" w:cs="Times New Roman"/>
                <w:sz w:val="18"/>
                <w:szCs w:val="18"/>
                <w:lang w:val="en-US" w:eastAsia="zh-CN"/>
              </w:rPr>
              <w:t>11:3</w:t>
            </w:r>
            <w:r>
              <w:rPr>
                <w:rFonts w:hint="eastAsia" w:ascii="Times New Roman" w:hAnsi="Times New Roman" w:cs="Times New Roman"/>
                <w:sz w:val="18"/>
                <w:szCs w:val="18"/>
                <w:lang w:val="en-US" w:eastAsia="zh-CN"/>
              </w:rPr>
              <w:t>0</w:t>
            </w:r>
          </w:p>
        </w:tc>
        <w:tc>
          <w:tcPr>
            <w:tcW w:w="695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018" w:type="dxa"/>
            <w:tcBorders>
              <w:right w:val="single" w:color="auto" w:sz="8" w:space="0"/>
            </w:tcBorders>
            <w:vAlign w:val="center"/>
          </w:tcPr>
          <w:p>
            <w:pPr>
              <w:ind w:firstLine="180" w:firstLineChars="100"/>
              <w:rPr>
                <w:rFonts w:hint="eastAsia" w:ascii="Times New Roman" w:hAnsi="Times New Roman" w:eastAsia="宋体" w:cs="Times New Roman"/>
                <w:sz w:val="18"/>
                <w:szCs w:val="18"/>
                <w:lang w:eastAsia="zh-CN"/>
              </w:rPr>
            </w:pPr>
            <w:r>
              <w:rPr>
                <w:rFonts w:hint="eastAsia" w:cs="Times New Roman"/>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13:</w:t>
            </w:r>
            <w:r>
              <w:rPr>
                <w:rFonts w:hint="eastAsia" w:ascii="Times New Roman" w:hAnsi="Times New Roman" w:cs="Times New Roman"/>
                <w:sz w:val="18"/>
                <w:szCs w:val="18"/>
                <w:lang w:val="en-US" w:eastAsia="zh-CN"/>
              </w:rPr>
              <w:t>30-1</w:t>
            </w:r>
            <w:r>
              <w:rPr>
                <w:rFonts w:hint="eastAsia" w:cs="Times New Roman"/>
                <w:sz w:val="18"/>
                <w:szCs w:val="18"/>
                <w:lang w:val="en-US" w:eastAsia="zh-CN"/>
              </w:rPr>
              <w:t>7:0</w:t>
            </w:r>
            <w:r>
              <w:rPr>
                <w:rFonts w:hint="eastAsia" w:ascii="Times New Roman" w:hAnsi="Times New Roman" w:cs="Times New Roman"/>
                <w:sz w:val="18"/>
                <w:szCs w:val="18"/>
                <w:lang w:val="en-US" w:eastAsia="zh-CN"/>
              </w:rPr>
              <w:t>0</w:t>
            </w:r>
          </w:p>
        </w:tc>
        <w:tc>
          <w:tcPr>
            <w:tcW w:w="6959"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五、</w:t>
            </w:r>
            <w:r>
              <w:rPr>
                <w:rFonts w:hint="eastAsia" w:ascii="Times New Roman" w:hAnsi="Times New Roman" w:cs="Times New Roman"/>
                <w:sz w:val="18"/>
                <w:szCs w:val="18"/>
              </w:rPr>
              <w:t>EnMS运行情况：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查看能源评审报告的编制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了解能源使用种类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 查看确定主要能源使用及识别影响主要能源使用的相关变量的合理性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1018" w:type="dxa"/>
            <w:tcBorders>
              <w:right w:val="single" w:color="auto" w:sz="8" w:space="0"/>
            </w:tcBorders>
            <w:shd w:val="clear" w:color="auto" w:fill="92D050"/>
            <w:vAlign w:val="center"/>
          </w:tcPr>
          <w:p>
            <w:pPr>
              <w:rPr>
                <w:rFonts w:hint="eastAsia" w:cs="Times New Roman"/>
                <w:sz w:val="18"/>
                <w:szCs w:val="18"/>
                <w:lang w:val="en-US" w:eastAsia="zh-CN"/>
              </w:rPr>
            </w:pPr>
            <w:r>
              <w:rPr>
                <w:rFonts w:hint="eastAsia" w:cs="Times New Roman"/>
                <w:sz w:val="18"/>
                <w:szCs w:val="18"/>
                <w:lang w:val="en-US" w:eastAsia="zh-CN"/>
              </w:rPr>
              <w:t>BC</w:t>
            </w:r>
          </w:p>
          <w:p>
            <w:pPr>
              <w:rPr>
                <w:rFonts w:hint="default"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8:0</w:t>
            </w:r>
            <w:r>
              <w:rPr>
                <w:rFonts w:hint="eastAsia" w:ascii="Times New Roman" w:hAnsi="Times New Roman" w:cs="Times New Roman"/>
                <w:sz w:val="18"/>
                <w:szCs w:val="18"/>
                <w:lang w:val="en-US" w:eastAsia="zh-CN"/>
              </w:rPr>
              <w:t>0-11</w:t>
            </w:r>
            <w:r>
              <w:rPr>
                <w:rFonts w:hint="eastAsia" w:cs="Times New Roman"/>
                <w:sz w:val="18"/>
                <w:szCs w:val="18"/>
                <w:lang w:val="en-US" w:eastAsia="zh-CN"/>
              </w:rPr>
              <w:t>:</w:t>
            </w:r>
            <w:r>
              <w:rPr>
                <w:rFonts w:hint="eastAsia" w:ascii="Times New Roman" w:hAnsi="Times New Roman" w:cs="Times New Roman"/>
                <w:sz w:val="18"/>
                <w:szCs w:val="18"/>
                <w:lang w:val="en-US" w:eastAsia="zh-CN"/>
              </w:rPr>
              <w:t>30</w:t>
            </w:r>
          </w:p>
        </w:tc>
        <w:tc>
          <w:tcPr>
            <w:tcW w:w="6959"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六、</w:t>
            </w:r>
            <w:r>
              <w:rPr>
                <w:rFonts w:hint="eastAsia" w:ascii="Times New Roman" w:hAnsi="Times New Roman" w:cs="Times New Roman"/>
                <w:sz w:val="18"/>
                <w:szCs w:val="18"/>
              </w:rPr>
              <w:t>EnMS场所巡查:</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巡视生产区域（厂区、车间等主要能源使用区域）</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巡视动力设施和辅助设施（锅炉房、高低压配电室、空压站、制冷站、改建/扩建施工现场等）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现场核实能源计量的管理</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观察节能设施运行情况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观察监视和测量设备的种类并了解检定/校准情况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观察现场能源的跑冒滴漏现象</w:t>
            </w:r>
          </w:p>
        </w:tc>
        <w:tc>
          <w:tcPr>
            <w:tcW w:w="1018" w:type="dxa"/>
            <w:tcBorders>
              <w:right w:val="single" w:color="auto" w:sz="8" w:space="0"/>
            </w:tcBorders>
            <w:shd w:val="clear" w:color="auto" w:fill="92D050"/>
            <w:vAlign w:val="center"/>
          </w:tcPr>
          <w:p>
            <w:pPr>
              <w:rPr>
                <w:rFonts w:hint="eastAsia" w:cs="Times New Roman"/>
                <w:sz w:val="18"/>
                <w:szCs w:val="18"/>
                <w:lang w:val="en-US" w:eastAsia="zh-CN"/>
              </w:rPr>
            </w:pPr>
            <w:r>
              <w:rPr>
                <w:rFonts w:hint="eastAsia" w:cs="Times New Roman"/>
                <w:sz w:val="18"/>
                <w:szCs w:val="18"/>
                <w:lang w:val="en-US" w:eastAsia="zh-CN"/>
              </w:rPr>
              <w:t>BC</w:t>
            </w:r>
          </w:p>
          <w:p>
            <w:pPr>
              <w:rPr>
                <w:rFonts w:hint="default"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2021.3.2</w:t>
            </w:r>
            <w:r>
              <w:rPr>
                <w:rFonts w:hint="eastAsia" w:cs="Times New Roman"/>
                <w:sz w:val="18"/>
                <w:szCs w:val="18"/>
                <w:lang w:val="en-US" w:eastAsia="zh-CN"/>
              </w:rPr>
              <w:t>6</w:t>
            </w:r>
          </w:p>
        </w:tc>
        <w:tc>
          <w:tcPr>
            <w:tcW w:w="1389" w:type="dxa"/>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11</w:t>
            </w:r>
            <w:r>
              <w:rPr>
                <w:rFonts w:hint="eastAsia" w:cs="Times New Roman"/>
                <w:sz w:val="18"/>
                <w:szCs w:val="18"/>
                <w:lang w:val="en-US" w:eastAsia="zh-CN"/>
              </w:rPr>
              <w:t>:</w:t>
            </w:r>
            <w:r>
              <w:rPr>
                <w:rFonts w:hint="eastAsia" w:ascii="Times New Roman" w:hAnsi="Times New Roman" w:cs="Times New Roman"/>
                <w:sz w:val="18"/>
                <w:szCs w:val="18"/>
                <w:lang w:val="en-US" w:eastAsia="zh-CN"/>
              </w:rPr>
              <w:t>30-12</w:t>
            </w:r>
            <w:r>
              <w:rPr>
                <w:rFonts w:hint="eastAsia" w:cs="Times New Roman"/>
                <w:sz w:val="18"/>
                <w:szCs w:val="18"/>
                <w:lang w:val="en-US" w:eastAsia="zh-CN"/>
              </w:rPr>
              <w:t>:</w:t>
            </w:r>
            <w:r>
              <w:rPr>
                <w:rFonts w:hint="eastAsia" w:ascii="Times New Roman" w:hAnsi="Times New Roman" w:cs="Times New Roman"/>
                <w:sz w:val="18"/>
                <w:szCs w:val="18"/>
                <w:lang w:val="en-US" w:eastAsia="zh-CN"/>
              </w:rPr>
              <w:t>00</w:t>
            </w:r>
          </w:p>
        </w:tc>
        <w:tc>
          <w:tcPr>
            <w:tcW w:w="6959" w:type="dxa"/>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末次会议</w:t>
            </w:r>
          </w:p>
        </w:tc>
        <w:tc>
          <w:tcPr>
            <w:tcW w:w="1018" w:type="dxa"/>
            <w:tcBorders>
              <w:right w:val="single" w:color="auto" w:sz="8" w:space="0"/>
            </w:tcBorders>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ABC</w:t>
            </w:r>
          </w:p>
        </w:tc>
      </w:tr>
    </w:tbl>
    <w:p>
      <w:pPr>
        <w:spacing w:line="300" w:lineRule="exact"/>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D2108C"/>
    <w:rsid w:val="3EAD1CC0"/>
    <w:rsid w:val="4E3C3FC9"/>
    <w:rsid w:val="59F6516A"/>
    <w:rsid w:val="749B0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2021-04-08T13:52:11Z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DF3990D96EC440CA9BE3FBF744A98E65</vt:lpwstr>
  </property>
</Properties>
</file>