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受审核方：江西欣盛泰实业有限公司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1"/>
          <w:rFonts w:ascii="楷体" w:hAnsi="楷体" w:eastAsia="楷体"/>
          <w:b/>
          <w:sz w:val="36"/>
          <w:szCs w:val="36"/>
        </w:rPr>
        <w:t>www.</w:t>
      </w:r>
      <w:r>
        <w:rPr>
          <w:rStyle w:val="11"/>
          <w:rFonts w:hint="eastAsia" w:ascii="楷体" w:hAnsi="楷体" w:eastAsia="楷体"/>
          <w:b/>
          <w:sz w:val="36"/>
          <w:szCs w:val="36"/>
        </w:rPr>
        <w:t>china-isc.org.cn</w:t>
      </w:r>
      <w:r>
        <w:rPr>
          <w:rFonts w:ascii="楷体" w:hAnsi="楷体" w:eastAsia="楷体"/>
          <w:b/>
          <w:color w:val="000000"/>
          <w:sz w:val="36"/>
          <w:szCs w:val="36"/>
        </w:rPr>
        <w:fldChar w:fldCharType="end"/>
      </w:r>
    </w:p>
    <w:p>
      <w:pPr>
        <w:pStyle w:val="2"/>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2620"/>
        <w:gridCol w:w="1212"/>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6"/>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739" w:type="dxa"/>
            <w:gridSpan w:val="4"/>
          </w:tcPr>
          <w:p>
            <w:pPr>
              <w:rPr>
                <w:b/>
                <w:sz w:val="21"/>
                <w:szCs w:val="21"/>
              </w:rPr>
            </w:pPr>
            <w:r>
              <w:rPr>
                <w:rFonts w:hint="eastAsia"/>
                <w:b/>
                <w:sz w:val="21"/>
                <w:szCs w:val="21"/>
              </w:rPr>
              <w:t>北京市朝阳区北苑路168号1号楼16层1603</w:t>
            </w:r>
          </w:p>
        </w:tc>
        <w:tc>
          <w:tcPr>
            <w:tcW w:w="1212" w:type="dxa"/>
          </w:tcPr>
          <w:p>
            <w:pPr>
              <w:rPr>
                <w:b/>
                <w:sz w:val="21"/>
                <w:szCs w:val="21"/>
              </w:rPr>
            </w:pPr>
            <w:r>
              <w:rPr>
                <w:rFonts w:hint="eastAsia"/>
                <w:b/>
                <w:sz w:val="21"/>
                <w:szCs w:val="21"/>
              </w:rPr>
              <w:t>邮编</w:t>
            </w:r>
          </w:p>
        </w:tc>
        <w:tc>
          <w:tcPr>
            <w:tcW w:w="132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6"/>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8"/>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2620" w:type="dxa"/>
            <w:vAlign w:val="center"/>
          </w:tcPr>
          <w:p>
            <w:pPr>
              <w:jc w:val="center"/>
              <w:rPr>
                <w:b/>
                <w:sz w:val="21"/>
                <w:szCs w:val="21"/>
              </w:rPr>
            </w:pPr>
            <w:r>
              <w:rPr>
                <w:rFonts w:hint="eastAsia"/>
                <w:b/>
                <w:sz w:val="21"/>
                <w:szCs w:val="21"/>
              </w:rPr>
              <w:t>审核员注册号</w:t>
            </w:r>
          </w:p>
        </w:tc>
        <w:tc>
          <w:tcPr>
            <w:tcW w:w="1212" w:type="dxa"/>
            <w:vAlign w:val="center"/>
          </w:tcPr>
          <w:p>
            <w:pPr>
              <w:jc w:val="center"/>
              <w:rPr>
                <w:b/>
                <w:sz w:val="21"/>
                <w:szCs w:val="21"/>
              </w:rPr>
            </w:pPr>
            <w:r>
              <w:rPr>
                <w:rFonts w:hint="eastAsia"/>
                <w:b/>
                <w:sz w:val="21"/>
                <w:szCs w:val="21"/>
              </w:rPr>
              <w:t>专业代码</w:t>
            </w:r>
          </w:p>
        </w:tc>
        <w:tc>
          <w:tcPr>
            <w:tcW w:w="1324"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褚敏杰</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620" w:type="dxa"/>
            <w:vAlign w:val="center"/>
          </w:tcPr>
          <w:p>
            <w:pPr>
              <w:jc w:val="center"/>
              <w:rPr>
                <w:b/>
                <w:sz w:val="21"/>
                <w:szCs w:val="21"/>
              </w:rPr>
            </w:pPr>
            <w:r>
              <w:rPr>
                <w:b/>
                <w:sz w:val="21"/>
                <w:szCs w:val="21"/>
              </w:rPr>
              <w:t>2018-N1QMS-2068076</w:t>
            </w:r>
          </w:p>
          <w:p>
            <w:pPr>
              <w:jc w:val="center"/>
              <w:rPr>
                <w:b/>
                <w:sz w:val="21"/>
                <w:szCs w:val="21"/>
              </w:rPr>
            </w:pPr>
            <w:r>
              <w:rPr>
                <w:b/>
                <w:sz w:val="21"/>
                <w:szCs w:val="21"/>
              </w:rPr>
              <w:t>2018-N1EMS-2068076</w:t>
            </w:r>
          </w:p>
          <w:p>
            <w:pPr>
              <w:jc w:val="center"/>
              <w:rPr>
                <w:b/>
                <w:sz w:val="21"/>
                <w:szCs w:val="21"/>
              </w:rPr>
            </w:pPr>
            <w:r>
              <w:rPr>
                <w:b/>
                <w:sz w:val="21"/>
                <w:szCs w:val="21"/>
              </w:rPr>
              <w:t>2019-N1OHSMS-2068076</w:t>
            </w:r>
          </w:p>
        </w:tc>
        <w:tc>
          <w:tcPr>
            <w:tcW w:w="1212" w:type="dxa"/>
            <w:vAlign w:val="center"/>
          </w:tcPr>
          <w:p>
            <w:pPr>
              <w:jc w:val="center"/>
              <w:rPr>
                <w:b/>
                <w:sz w:val="21"/>
                <w:szCs w:val="21"/>
              </w:rPr>
            </w:pPr>
          </w:p>
        </w:tc>
        <w:tc>
          <w:tcPr>
            <w:tcW w:w="1324" w:type="dxa"/>
            <w:vAlign w:val="center"/>
          </w:tcPr>
          <w:p>
            <w:pPr>
              <w:jc w:val="center"/>
              <w:rPr>
                <w:b/>
                <w:sz w:val="21"/>
                <w:szCs w:val="21"/>
              </w:rPr>
            </w:pPr>
            <w:r>
              <w:rPr>
                <w:b/>
                <w:sz w:val="21"/>
                <w:szCs w:val="21"/>
              </w:rPr>
              <w:t>ISC-68076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文波</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620" w:type="dxa"/>
            <w:vAlign w:val="center"/>
          </w:tcPr>
          <w:p>
            <w:pPr>
              <w:jc w:val="center"/>
              <w:rPr>
                <w:b/>
                <w:sz w:val="21"/>
                <w:szCs w:val="21"/>
              </w:rPr>
            </w:pPr>
            <w:r>
              <w:rPr>
                <w:b/>
                <w:sz w:val="21"/>
                <w:szCs w:val="21"/>
              </w:rPr>
              <w:t>2019-N1QMS-1257737</w:t>
            </w:r>
          </w:p>
          <w:p>
            <w:pPr>
              <w:jc w:val="center"/>
              <w:rPr>
                <w:b/>
                <w:sz w:val="21"/>
                <w:szCs w:val="21"/>
              </w:rPr>
            </w:pPr>
            <w:r>
              <w:rPr>
                <w:b/>
                <w:sz w:val="21"/>
                <w:szCs w:val="21"/>
              </w:rPr>
              <w:t>2019-N1EMS-1257737</w:t>
            </w:r>
          </w:p>
          <w:p>
            <w:pPr>
              <w:jc w:val="center"/>
              <w:rPr>
                <w:b/>
                <w:sz w:val="21"/>
                <w:szCs w:val="21"/>
              </w:rPr>
            </w:pPr>
            <w:r>
              <w:rPr>
                <w:b/>
                <w:sz w:val="21"/>
                <w:szCs w:val="21"/>
              </w:rPr>
              <w:t>2020-N1OHSMS-1257737</w:t>
            </w:r>
          </w:p>
        </w:tc>
        <w:tc>
          <w:tcPr>
            <w:tcW w:w="1212" w:type="dxa"/>
            <w:vAlign w:val="center"/>
          </w:tcPr>
          <w:p>
            <w:pPr>
              <w:jc w:val="center"/>
              <w:rPr>
                <w:b/>
                <w:sz w:val="21"/>
                <w:szCs w:val="21"/>
              </w:rPr>
            </w:pPr>
            <w:r>
              <w:rPr>
                <w:b/>
                <w:sz w:val="21"/>
                <w:szCs w:val="21"/>
              </w:rPr>
              <w:t>Q:17.12.05</w:t>
            </w:r>
          </w:p>
          <w:p>
            <w:pPr>
              <w:jc w:val="center"/>
              <w:rPr>
                <w:b/>
                <w:sz w:val="21"/>
                <w:szCs w:val="21"/>
              </w:rPr>
            </w:pPr>
            <w:r>
              <w:rPr>
                <w:b/>
                <w:sz w:val="21"/>
                <w:szCs w:val="21"/>
              </w:rPr>
              <w:t>E:17.12.05</w:t>
            </w:r>
          </w:p>
          <w:p>
            <w:pPr>
              <w:jc w:val="center"/>
              <w:rPr>
                <w:b/>
                <w:sz w:val="21"/>
                <w:szCs w:val="21"/>
              </w:rPr>
            </w:pPr>
            <w:r>
              <w:rPr>
                <w:b/>
                <w:sz w:val="21"/>
                <w:szCs w:val="21"/>
              </w:rPr>
              <w:t>O:17.12.05</w:t>
            </w:r>
          </w:p>
        </w:tc>
        <w:tc>
          <w:tcPr>
            <w:tcW w:w="1324" w:type="dxa"/>
            <w:vAlign w:val="center"/>
          </w:tcPr>
          <w:p>
            <w:pPr>
              <w:jc w:val="center"/>
              <w:rPr>
                <w:b/>
                <w:sz w:val="21"/>
                <w:szCs w:val="21"/>
              </w:rPr>
            </w:pPr>
            <w:r>
              <w:rPr>
                <w:b/>
                <w:sz w:val="21"/>
                <w:szCs w:val="21"/>
              </w:rPr>
              <w:t>ISC-257737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620" w:type="dxa"/>
          </w:tcPr>
          <w:p>
            <w:pPr>
              <w:rPr>
                <w:b/>
                <w:sz w:val="21"/>
                <w:szCs w:val="21"/>
              </w:rPr>
            </w:pPr>
          </w:p>
        </w:tc>
        <w:tc>
          <w:tcPr>
            <w:tcW w:w="1212" w:type="dxa"/>
          </w:tcPr>
          <w:p>
            <w:pPr>
              <w:rPr>
                <w:b/>
                <w:sz w:val="21"/>
                <w:szCs w:val="21"/>
              </w:rPr>
            </w:pPr>
          </w:p>
        </w:tc>
        <w:tc>
          <w:tcPr>
            <w:tcW w:w="132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620" w:type="dxa"/>
          </w:tcPr>
          <w:p>
            <w:pPr>
              <w:rPr>
                <w:b/>
                <w:sz w:val="21"/>
                <w:szCs w:val="21"/>
              </w:rPr>
            </w:pPr>
          </w:p>
        </w:tc>
        <w:tc>
          <w:tcPr>
            <w:tcW w:w="1212" w:type="dxa"/>
          </w:tcPr>
          <w:p>
            <w:pPr>
              <w:rPr>
                <w:b/>
                <w:sz w:val="21"/>
                <w:szCs w:val="21"/>
              </w:rPr>
            </w:pPr>
          </w:p>
        </w:tc>
        <w:tc>
          <w:tcPr>
            <w:tcW w:w="132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620" w:type="dxa"/>
          </w:tcPr>
          <w:p>
            <w:pPr>
              <w:rPr>
                <w:b/>
                <w:sz w:val="21"/>
                <w:szCs w:val="21"/>
              </w:rPr>
            </w:pPr>
          </w:p>
        </w:tc>
        <w:tc>
          <w:tcPr>
            <w:tcW w:w="1212" w:type="dxa"/>
          </w:tcPr>
          <w:p>
            <w:pPr>
              <w:rPr>
                <w:b/>
                <w:sz w:val="21"/>
                <w:szCs w:val="21"/>
              </w:rPr>
            </w:pPr>
          </w:p>
        </w:tc>
        <w:tc>
          <w:tcPr>
            <w:tcW w:w="132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8"/>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4"/>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4"/>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4"/>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4"/>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pStyle w:val="2"/>
        <w:rPr>
          <w:rFonts w:hint="eastAsia"/>
          <w:b/>
          <w:sz w:val="21"/>
          <w:szCs w:val="21"/>
        </w:rPr>
      </w:pPr>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both"/>
              <w:rPr>
                <w:rFonts w:ascii="宋体"/>
                <w:b/>
                <w:color w:val="auto"/>
                <w:sz w:val="16"/>
                <w:szCs w:val="16"/>
              </w:rPr>
            </w:pPr>
            <w:r>
              <w:rPr>
                <w:rFonts w:hint="eastAsia" w:ascii="宋体" w:hAnsi="宋体"/>
                <w:b/>
                <w:color w:val="auto"/>
                <w:sz w:val="21"/>
              </w:rPr>
              <w:t>受审核方名称</w:t>
            </w:r>
          </w:p>
        </w:tc>
        <w:tc>
          <w:tcPr>
            <w:tcW w:w="4416" w:type="dxa"/>
            <w:gridSpan w:val="4"/>
            <w:vAlign w:val="center"/>
          </w:tcPr>
          <w:p>
            <w:pPr>
              <w:spacing w:line="260" w:lineRule="exact"/>
              <w:jc w:val="both"/>
              <w:rPr>
                <w:rFonts w:ascii="宋体"/>
                <w:b/>
                <w:color w:val="auto"/>
                <w:sz w:val="21"/>
              </w:rPr>
            </w:pPr>
            <w:bookmarkStart w:id="9" w:name="组织名称Add"/>
            <w:r>
              <w:rPr>
                <w:rFonts w:ascii="宋体"/>
                <w:b/>
                <w:color w:val="auto"/>
                <w:sz w:val="21"/>
              </w:rPr>
              <w:t>江西欣盛泰实业有限公司</w:t>
            </w:r>
            <w:bookmarkEnd w:id="9"/>
          </w:p>
        </w:tc>
        <w:tc>
          <w:tcPr>
            <w:tcW w:w="1672" w:type="dxa"/>
            <w:vAlign w:val="center"/>
          </w:tcPr>
          <w:p>
            <w:pPr>
              <w:spacing w:line="260" w:lineRule="exact"/>
              <w:jc w:val="both"/>
              <w:rPr>
                <w:rFonts w:ascii="宋体"/>
                <w:b/>
                <w:sz w:val="21"/>
              </w:rPr>
            </w:pPr>
            <w:r>
              <w:rPr>
                <w:rFonts w:hint="eastAsia" w:ascii="宋体" w:hAnsi="宋体"/>
                <w:b/>
                <w:sz w:val="21"/>
              </w:rPr>
              <w:t>组织人数及</w:t>
            </w:r>
          </w:p>
          <w:p>
            <w:pPr>
              <w:spacing w:line="200" w:lineRule="exact"/>
              <w:jc w:val="both"/>
              <w:rPr>
                <w:b/>
                <w:spacing w:val="-20"/>
              </w:rPr>
            </w:pPr>
            <w:r>
              <w:rPr>
                <w:rFonts w:hint="eastAsia" w:ascii="宋体" w:hAnsi="宋体"/>
                <w:b/>
                <w:sz w:val="21"/>
              </w:rPr>
              <w:t>变动情况核实</w:t>
            </w:r>
          </w:p>
        </w:tc>
        <w:tc>
          <w:tcPr>
            <w:tcW w:w="1500" w:type="dxa"/>
            <w:vAlign w:val="center"/>
          </w:tcPr>
          <w:p>
            <w:pPr>
              <w:spacing w:line="260" w:lineRule="exact"/>
              <w:jc w:val="both"/>
              <w:rPr>
                <w:rFonts w:hint="default" w:ascii="宋体" w:eastAsia="宋体"/>
                <w:b/>
                <w:sz w:val="21"/>
                <w:lang w:val="en-US" w:eastAsia="zh-CN"/>
              </w:rPr>
            </w:pPr>
            <w:r>
              <w:rPr>
                <w:rFonts w:hint="eastAsia" w:ascii="宋体"/>
                <w:b/>
                <w:sz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both"/>
              <w:rPr>
                <w:b/>
                <w:sz w:val="16"/>
                <w:szCs w:val="16"/>
              </w:rPr>
            </w:pPr>
            <w:r>
              <w:rPr>
                <w:rFonts w:hint="eastAsia" w:ascii="宋体" w:hAnsi="宋体"/>
                <w:b/>
                <w:sz w:val="21"/>
                <w:szCs w:val="21"/>
              </w:rPr>
              <w:t>注册地址</w:t>
            </w:r>
          </w:p>
        </w:tc>
        <w:tc>
          <w:tcPr>
            <w:tcW w:w="4416" w:type="dxa"/>
            <w:gridSpan w:val="4"/>
            <w:vAlign w:val="center"/>
          </w:tcPr>
          <w:p>
            <w:pPr>
              <w:jc w:val="both"/>
              <w:rPr>
                <w:rFonts w:ascii="宋体"/>
                <w:b/>
                <w:sz w:val="21"/>
              </w:rPr>
            </w:pPr>
            <w:bookmarkStart w:id="10" w:name="注册地址"/>
            <w:r>
              <w:rPr>
                <w:rFonts w:ascii="宋体"/>
                <w:b/>
                <w:sz w:val="21"/>
              </w:rPr>
              <w:t>江西省樟树市城北（张家山）工业园1号路</w:t>
            </w:r>
            <w:bookmarkEnd w:id="10"/>
          </w:p>
        </w:tc>
        <w:tc>
          <w:tcPr>
            <w:tcW w:w="1672" w:type="dxa"/>
            <w:vMerge w:val="restart"/>
            <w:vAlign w:val="center"/>
          </w:tcPr>
          <w:p>
            <w:pPr>
              <w:jc w:val="both"/>
              <w:rPr>
                <w:rFonts w:ascii="宋体"/>
                <w:b/>
                <w:sz w:val="21"/>
              </w:rPr>
            </w:pPr>
            <w:r>
              <w:rPr>
                <w:rFonts w:hint="eastAsia" w:ascii="宋体" w:hAnsi="宋体"/>
                <w:b/>
                <w:sz w:val="21"/>
              </w:rPr>
              <w:t>邮编</w:t>
            </w:r>
          </w:p>
        </w:tc>
        <w:tc>
          <w:tcPr>
            <w:tcW w:w="1500" w:type="dxa"/>
            <w:vAlign w:val="center"/>
          </w:tcPr>
          <w:p>
            <w:pPr>
              <w:jc w:val="both"/>
              <w:rPr>
                <w:rFonts w:ascii="宋体"/>
                <w:b/>
                <w:sz w:val="21"/>
              </w:rPr>
            </w:pPr>
            <w:bookmarkStart w:id="11" w:name="注册邮编"/>
            <w:r>
              <w:rPr>
                <w:rFonts w:ascii="宋体"/>
                <w:b/>
                <w:sz w:val="21"/>
              </w:rPr>
              <w:t>331200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both"/>
              <w:rPr>
                <w:rFonts w:ascii="宋体"/>
                <w:b/>
                <w:sz w:val="21"/>
                <w:szCs w:val="21"/>
              </w:rPr>
            </w:pPr>
            <w:r>
              <w:rPr>
                <w:rFonts w:hint="eastAsia" w:ascii="宋体" w:hAnsi="宋体"/>
                <w:b/>
                <w:sz w:val="21"/>
                <w:szCs w:val="21"/>
              </w:rPr>
              <w:t>经营地址</w:t>
            </w:r>
          </w:p>
        </w:tc>
        <w:tc>
          <w:tcPr>
            <w:tcW w:w="4416" w:type="dxa"/>
            <w:gridSpan w:val="4"/>
            <w:vAlign w:val="center"/>
          </w:tcPr>
          <w:p>
            <w:pPr>
              <w:jc w:val="both"/>
              <w:rPr>
                <w:rFonts w:ascii="宋体"/>
                <w:b/>
                <w:sz w:val="21"/>
              </w:rPr>
            </w:pPr>
            <w:bookmarkStart w:id="12" w:name="办公地址"/>
            <w:r>
              <w:rPr>
                <w:rFonts w:ascii="宋体"/>
                <w:b/>
                <w:sz w:val="21"/>
              </w:rPr>
              <w:t>江西省樟树市城北（张家山）工业园1号路</w:t>
            </w:r>
            <w:bookmarkEnd w:id="12"/>
          </w:p>
        </w:tc>
        <w:tc>
          <w:tcPr>
            <w:tcW w:w="1672" w:type="dxa"/>
            <w:vMerge w:val="continue"/>
            <w:vAlign w:val="center"/>
          </w:tcPr>
          <w:p>
            <w:pPr>
              <w:jc w:val="both"/>
              <w:rPr>
                <w:rFonts w:ascii="宋体"/>
                <w:b/>
                <w:sz w:val="21"/>
              </w:rPr>
            </w:pPr>
          </w:p>
        </w:tc>
        <w:tc>
          <w:tcPr>
            <w:tcW w:w="1500" w:type="dxa"/>
            <w:vAlign w:val="center"/>
          </w:tcPr>
          <w:p>
            <w:pPr>
              <w:jc w:val="both"/>
              <w:rPr>
                <w:rFonts w:ascii="宋体"/>
                <w:b/>
                <w:sz w:val="21"/>
              </w:rPr>
            </w:pPr>
            <w:bookmarkStart w:id="13" w:name="办公邮编"/>
            <w:r>
              <w:rPr>
                <w:rFonts w:ascii="宋体"/>
                <w:b/>
                <w:sz w:val="21"/>
              </w:rPr>
              <w:t>331200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both"/>
              <w:rPr>
                <w:rFonts w:ascii="宋体"/>
                <w:b/>
                <w:color w:val="000000"/>
                <w:sz w:val="21"/>
                <w:szCs w:val="21"/>
              </w:rPr>
            </w:pPr>
            <w:r>
              <w:rPr>
                <w:rFonts w:hint="eastAsia" w:ascii="宋体" w:hAnsi="宋体"/>
                <w:b/>
                <w:color w:val="000000"/>
                <w:sz w:val="21"/>
                <w:szCs w:val="21"/>
              </w:rPr>
              <w:t>生产地址</w:t>
            </w:r>
          </w:p>
        </w:tc>
        <w:tc>
          <w:tcPr>
            <w:tcW w:w="4416" w:type="dxa"/>
            <w:gridSpan w:val="4"/>
            <w:vAlign w:val="center"/>
          </w:tcPr>
          <w:p>
            <w:pPr>
              <w:jc w:val="both"/>
              <w:rPr>
                <w:rFonts w:ascii="宋体"/>
                <w:b/>
                <w:sz w:val="21"/>
              </w:rPr>
            </w:pPr>
            <w:bookmarkStart w:id="14" w:name="生产地址Add"/>
            <w:r>
              <w:rPr>
                <w:rFonts w:ascii="宋体"/>
                <w:b/>
                <w:sz w:val="21"/>
              </w:rPr>
              <w:t>江西省樟树市城北（张家山）工业园1号路</w:t>
            </w:r>
            <w:bookmarkEnd w:id="14"/>
          </w:p>
        </w:tc>
        <w:tc>
          <w:tcPr>
            <w:tcW w:w="1672" w:type="dxa"/>
            <w:vMerge w:val="continue"/>
            <w:vAlign w:val="center"/>
          </w:tcPr>
          <w:p>
            <w:pPr>
              <w:jc w:val="both"/>
              <w:rPr>
                <w:rFonts w:ascii="宋体"/>
                <w:b/>
                <w:sz w:val="21"/>
              </w:rPr>
            </w:pPr>
          </w:p>
        </w:tc>
        <w:tc>
          <w:tcPr>
            <w:tcW w:w="1500" w:type="dxa"/>
            <w:vAlign w:val="center"/>
          </w:tcPr>
          <w:p>
            <w:pPr>
              <w:jc w:val="both"/>
              <w:rPr>
                <w:rFonts w:ascii="宋体"/>
                <w:b/>
                <w:sz w:val="21"/>
              </w:rPr>
            </w:pPr>
            <w:bookmarkStart w:id="15" w:name="生产邮编"/>
            <w:r>
              <w:rPr>
                <w:rFonts w:ascii="宋体"/>
                <w:b/>
                <w:sz w:val="21"/>
              </w:rPr>
              <w:t>331200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both"/>
              <w:rPr>
                <w:rFonts w:ascii="宋体"/>
                <w:b/>
                <w:sz w:val="21"/>
              </w:rPr>
            </w:pPr>
            <w:r>
              <w:rPr>
                <w:rFonts w:hint="eastAsia" w:ascii="宋体" w:hAnsi="宋体"/>
                <w:b/>
                <w:sz w:val="21"/>
              </w:rPr>
              <w:t>联系人</w:t>
            </w:r>
          </w:p>
        </w:tc>
        <w:tc>
          <w:tcPr>
            <w:tcW w:w="1689" w:type="dxa"/>
            <w:vAlign w:val="center"/>
          </w:tcPr>
          <w:p>
            <w:pPr>
              <w:jc w:val="both"/>
              <w:rPr>
                <w:rFonts w:ascii="宋体"/>
                <w:b/>
                <w:sz w:val="21"/>
              </w:rPr>
            </w:pPr>
            <w:bookmarkStart w:id="16" w:name="联系人"/>
            <w:r>
              <w:rPr>
                <w:rFonts w:ascii="宋体"/>
                <w:b/>
                <w:sz w:val="21"/>
              </w:rPr>
              <w:t>肖园琴</w:t>
            </w:r>
            <w:bookmarkEnd w:id="16"/>
          </w:p>
        </w:tc>
        <w:tc>
          <w:tcPr>
            <w:tcW w:w="1109" w:type="dxa"/>
            <w:vAlign w:val="center"/>
          </w:tcPr>
          <w:p>
            <w:pPr>
              <w:jc w:val="both"/>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both"/>
              <w:rPr>
                <w:rFonts w:ascii="宋体"/>
                <w:b/>
                <w:sz w:val="21"/>
              </w:rPr>
            </w:pPr>
            <w:bookmarkStart w:id="17" w:name="联系人电话Add"/>
            <w:r>
              <w:rPr>
                <w:rFonts w:ascii="宋体"/>
                <w:b/>
                <w:sz w:val="21"/>
              </w:rPr>
              <w:t>0795-7857666</w:t>
            </w:r>
            <w:bookmarkEnd w:id="17"/>
          </w:p>
        </w:tc>
        <w:tc>
          <w:tcPr>
            <w:tcW w:w="1672" w:type="dxa"/>
            <w:vAlign w:val="center"/>
          </w:tcPr>
          <w:p>
            <w:pPr>
              <w:jc w:val="both"/>
              <w:rPr>
                <w:rFonts w:ascii="宋体"/>
                <w:b/>
                <w:sz w:val="21"/>
              </w:rPr>
            </w:pPr>
            <w:r>
              <w:rPr>
                <w:rFonts w:hint="eastAsia" w:ascii="宋体" w:hAnsi="宋体"/>
                <w:b/>
                <w:sz w:val="21"/>
              </w:rPr>
              <w:t>传真</w:t>
            </w:r>
          </w:p>
        </w:tc>
        <w:tc>
          <w:tcPr>
            <w:tcW w:w="1500" w:type="dxa"/>
            <w:vAlign w:val="center"/>
          </w:tcPr>
          <w:p>
            <w:pPr>
              <w:jc w:val="both"/>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both"/>
              <w:rPr>
                <w:rFonts w:ascii="宋体" w:hAnsi="宋体"/>
                <w:b/>
                <w:sz w:val="21"/>
                <w:szCs w:val="21"/>
              </w:rPr>
            </w:pPr>
            <w:r>
              <w:rPr>
                <w:rFonts w:hint="eastAsia" w:ascii="宋体" w:hAnsi="宋体"/>
                <w:b/>
                <w:sz w:val="21"/>
                <w:szCs w:val="21"/>
              </w:rPr>
              <w:t>法人代表</w:t>
            </w:r>
          </w:p>
        </w:tc>
        <w:tc>
          <w:tcPr>
            <w:tcW w:w="1689" w:type="dxa"/>
            <w:vAlign w:val="center"/>
          </w:tcPr>
          <w:p>
            <w:pPr>
              <w:jc w:val="both"/>
              <w:rPr>
                <w:rFonts w:ascii="宋体" w:hAnsi="宋体"/>
                <w:b/>
                <w:sz w:val="21"/>
                <w:szCs w:val="21"/>
              </w:rPr>
            </w:pPr>
            <w:bookmarkStart w:id="19" w:name="法人"/>
            <w:r>
              <w:rPr>
                <w:rFonts w:ascii="宋体" w:hAnsi="宋体"/>
                <w:b/>
                <w:sz w:val="21"/>
                <w:szCs w:val="21"/>
              </w:rPr>
              <w:t>胡庆春</w:t>
            </w:r>
            <w:bookmarkEnd w:id="19"/>
          </w:p>
        </w:tc>
        <w:tc>
          <w:tcPr>
            <w:tcW w:w="1109" w:type="dxa"/>
            <w:vAlign w:val="center"/>
          </w:tcPr>
          <w:p>
            <w:pPr>
              <w:jc w:val="both"/>
              <w:rPr>
                <w:rFonts w:ascii="宋体" w:hAnsi="宋体"/>
                <w:b/>
                <w:sz w:val="21"/>
                <w:szCs w:val="21"/>
              </w:rPr>
            </w:pPr>
            <w:r>
              <w:rPr>
                <w:rFonts w:hint="eastAsia" w:ascii="宋体" w:hAnsi="宋体"/>
                <w:b/>
                <w:sz w:val="21"/>
                <w:szCs w:val="21"/>
              </w:rPr>
              <w:t>总经理</w:t>
            </w:r>
          </w:p>
        </w:tc>
        <w:tc>
          <w:tcPr>
            <w:tcW w:w="1618" w:type="dxa"/>
            <w:gridSpan w:val="2"/>
            <w:vAlign w:val="center"/>
          </w:tcPr>
          <w:p>
            <w:pPr>
              <w:jc w:val="both"/>
              <w:rPr>
                <w:rFonts w:ascii="宋体" w:hAnsi="宋体"/>
                <w:b/>
                <w:sz w:val="21"/>
                <w:szCs w:val="21"/>
              </w:rPr>
            </w:pPr>
          </w:p>
        </w:tc>
        <w:tc>
          <w:tcPr>
            <w:tcW w:w="1672" w:type="dxa"/>
            <w:vAlign w:val="center"/>
          </w:tcPr>
          <w:p>
            <w:pPr>
              <w:jc w:val="both"/>
              <w:rPr>
                <w:rFonts w:ascii="宋体" w:hAnsi="宋体"/>
                <w:b/>
                <w:sz w:val="21"/>
                <w:szCs w:val="21"/>
              </w:rPr>
            </w:pPr>
            <w:r>
              <w:rPr>
                <w:rFonts w:hint="eastAsia" w:ascii="宋体" w:hAnsi="宋体"/>
                <w:b/>
                <w:sz w:val="21"/>
                <w:szCs w:val="21"/>
              </w:rPr>
              <w:t>管理者代表</w:t>
            </w:r>
          </w:p>
        </w:tc>
        <w:tc>
          <w:tcPr>
            <w:tcW w:w="1500" w:type="dxa"/>
            <w:vAlign w:val="center"/>
          </w:tcPr>
          <w:p>
            <w:pPr>
              <w:jc w:val="both"/>
              <w:rPr>
                <w:rFonts w:ascii="宋体"/>
                <w:b/>
                <w:sz w:val="21"/>
              </w:rPr>
            </w:pPr>
            <w:bookmarkStart w:id="20" w:name="管理者代表"/>
            <w:r>
              <w:rPr>
                <w:rFonts w:ascii="宋体"/>
                <w:b/>
                <w:sz w:val="21"/>
              </w:rPr>
              <w:t>肖园琴</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both"/>
              <w:rPr>
                <w:rFonts w:ascii="宋体" w:hAnsi="宋体"/>
                <w:b/>
                <w:sz w:val="21"/>
                <w:szCs w:val="21"/>
              </w:rPr>
            </w:pPr>
            <w:r>
              <w:rPr>
                <w:rFonts w:hint="eastAsia" w:ascii="宋体" w:hAnsi="宋体"/>
                <w:b/>
                <w:sz w:val="21"/>
                <w:szCs w:val="21"/>
              </w:rPr>
              <w:t>审核日期</w:t>
            </w:r>
          </w:p>
        </w:tc>
        <w:tc>
          <w:tcPr>
            <w:tcW w:w="2798" w:type="dxa"/>
            <w:gridSpan w:val="2"/>
            <w:vAlign w:val="center"/>
          </w:tcPr>
          <w:p>
            <w:pPr>
              <w:jc w:val="both"/>
              <w:rPr>
                <w:rFonts w:ascii="宋体" w:hAnsi="宋体"/>
                <w:b/>
                <w:sz w:val="21"/>
                <w:szCs w:val="21"/>
              </w:rPr>
            </w:pPr>
            <w:bookmarkStart w:id="21" w:name="审核日期"/>
            <w:r>
              <w:rPr>
                <w:rFonts w:ascii="宋体" w:hAnsi="宋体"/>
                <w:b/>
                <w:sz w:val="21"/>
                <w:szCs w:val="21"/>
              </w:rPr>
              <w:t>2021年03月29日 上午至2021年03月30日 上午</w:t>
            </w:r>
            <w:bookmarkEnd w:id="21"/>
          </w:p>
        </w:tc>
        <w:tc>
          <w:tcPr>
            <w:tcW w:w="1609" w:type="dxa"/>
            <w:vAlign w:val="center"/>
          </w:tcPr>
          <w:p>
            <w:pPr>
              <w:jc w:val="both"/>
              <w:rPr>
                <w:rFonts w:ascii="宋体" w:hAnsi="宋体"/>
                <w:b/>
                <w:sz w:val="21"/>
                <w:szCs w:val="21"/>
              </w:rPr>
            </w:pPr>
            <w:r>
              <w:rPr>
                <w:rFonts w:hint="eastAsia" w:ascii="宋体" w:hAnsi="宋体"/>
                <w:b/>
                <w:sz w:val="21"/>
                <w:szCs w:val="21"/>
              </w:rPr>
              <w:t>一体化审核</w:t>
            </w:r>
          </w:p>
        </w:tc>
        <w:tc>
          <w:tcPr>
            <w:tcW w:w="3181" w:type="dxa"/>
            <w:gridSpan w:val="3"/>
            <w:vAlign w:val="center"/>
          </w:tcPr>
          <w:p>
            <w:pPr>
              <w:jc w:val="both"/>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b/>
                <w:sz w:val="21"/>
                <w:szCs w:val="21"/>
              </w:rPr>
              <w:t>城市公共交通亭（棚）、广告棚（牌）、旅游咨询亭、治安亭（棚）、户外各类收费亭、报刊亭的生产</w:t>
            </w:r>
          </w:p>
          <w:p>
            <w:pPr>
              <w:spacing w:line="360" w:lineRule="exact"/>
              <w:rPr>
                <w:rFonts w:ascii="宋体" w:hAnsi="宋体"/>
                <w:b/>
                <w:sz w:val="21"/>
                <w:szCs w:val="21"/>
              </w:rPr>
            </w:pPr>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：城市公共交通亭（棚）、广告棚（牌）、旅游咨询亭、治安亭（棚）、户外各类收费亭、报刊亭的生产所涉及的相关环境管理活动</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：城市公共交通亭（棚）、广告棚（牌）、旅游咨询亭、治安亭（棚）、户外各类收费亭、报刊亭的生产所涉及的相关职业健康安全管理活动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vAlign w:val="center"/>
          </w:tcPr>
          <w:p>
            <w:pPr>
              <w:spacing w:line="260" w:lineRule="exact"/>
              <w:jc w:val="center"/>
              <w:rPr>
                <w:rFonts w:ascii="宋体" w:hAnsi="宋体"/>
                <w:b/>
                <w:sz w:val="21"/>
                <w:szCs w:val="21"/>
              </w:rPr>
            </w:pPr>
            <w:bookmarkStart w:id="26" w:name="专业代码"/>
            <w:r>
              <w:rPr>
                <w:rFonts w:ascii="宋体" w:hAnsi="宋体"/>
                <w:b/>
                <w:sz w:val="21"/>
                <w:szCs w:val="21"/>
              </w:rPr>
              <w:t>Q：17.12.05</w:t>
            </w:r>
          </w:p>
          <w:p>
            <w:pPr>
              <w:spacing w:line="260" w:lineRule="exact"/>
              <w:jc w:val="center"/>
              <w:rPr>
                <w:rFonts w:ascii="宋体" w:hAnsi="宋体"/>
                <w:b/>
                <w:sz w:val="21"/>
                <w:szCs w:val="21"/>
              </w:rPr>
            </w:pPr>
            <w:r>
              <w:rPr>
                <w:rFonts w:ascii="宋体" w:hAnsi="宋体"/>
                <w:b/>
                <w:sz w:val="21"/>
                <w:szCs w:val="21"/>
              </w:rPr>
              <w:t>E：17.12.05</w:t>
            </w:r>
          </w:p>
          <w:p>
            <w:pPr>
              <w:spacing w:line="260" w:lineRule="exact"/>
              <w:jc w:val="center"/>
              <w:rPr>
                <w:rFonts w:ascii="宋体" w:hAnsi="宋体"/>
                <w:b/>
                <w:sz w:val="21"/>
                <w:szCs w:val="21"/>
              </w:rPr>
            </w:pPr>
            <w:r>
              <w:rPr>
                <w:rFonts w:ascii="宋体" w:hAnsi="宋体"/>
                <w:b/>
                <w:sz w:val="21"/>
                <w:szCs w:val="21"/>
              </w:rPr>
              <w:t>O：17.12.05</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center"/>
          </w:tcPr>
          <w:p>
            <w:pPr>
              <w:spacing w:line="260" w:lineRule="exact"/>
              <w:jc w:val="center"/>
              <w:rPr>
                <w:rFonts w:hint="eastAsia" w:ascii="宋体" w:hAnsi="宋体"/>
                <w:b/>
                <w:sz w:val="21"/>
                <w:szCs w:val="21"/>
                <w:lang w:val="en-US" w:eastAsia="zh-CN"/>
              </w:rPr>
            </w:pPr>
            <w:r>
              <w:rPr>
                <w:rFonts w:hint="eastAsia" w:ascii="宋体" w:hAnsi="宋体"/>
                <w:b/>
                <w:sz w:val="21"/>
                <w:szCs w:val="21"/>
                <w:lang w:val="en-US" w:eastAsia="zh-CN"/>
              </w:rPr>
              <w:t>Q:2022.6.4</w:t>
            </w:r>
          </w:p>
          <w:p>
            <w:pPr>
              <w:spacing w:line="260" w:lineRule="exact"/>
              <w:jc w:val="center"/>
              <w:rPr>
                <w:rFonts w:hint="eastAsia" w:ascii="宋体" w:hAnsi="宋体"/>
                <w:b/>
                <w:sz w:val="21"/>
                <w:szCs w:val="21"/>
                <w:lang w:val="en-US" w:eastAsia="zh-CN"/>
              </w:rPr>
            </w:pPr>
            <w:r>
              <w:rPr>
                <w:rFonts w:hint="eastAsia" w:ascii="宋体" w:hAnsi="宋体"/>
                <w:b/>
                <w:sz w:val="21"/>
                <w:szCs w:val="21"/>
                <w:lang w:val="en-US" w:eastAsia="zh-CN"/>
              </w:rPr>
              <w:t>E:2022.6.4</w:t>
            </w:r>
          </w:p>
          <w:p>
            <w:pPr>
              <w:spacing w:line="260" w:lineRule="exact"/>
              <w:jc w:val="center"/>
              <w:rPr>
                <w:rFonts w:hint="default" w:ascii="宋体" w:hAnsi="宋体"/>
                <w:b/>
                <w:sz w:val="21"/>
                <w:szCs w:val="21"/>
                <w:lang w:val="en-US" w:eastAsia="zh-CN"/>
              </w:rPr>
            </w:pPr>
            <w:r>
              <w:rPr>
                <w:rFonts w:hint="eastAsia" w:ascii="宋体" w:hAnsi="宋体"/>
                <w:b/>
                <w:sz w:val="21"/>
                <w:szCs w:val="21"/>
                <w:lang w:val="en-US" w:eastAsia="zh-CN"/>
              </w:rPr>
              <w:t>S:2022.6.4</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center"/>
          </w:tcPr>
          <w:p>
            <w:pPr>
              <w:jc w:val="center"/>
              <w:rPr>
                <w:rFonts w:ascii="宋体"/>
                <w:b/>
                <w:sz w:val="21"/>
              </w:rPr>
            </w:pPr>
            <w:r>
              <w:rPr>
                <w:rFonts w:ascii="宋体" w:hAnsi="宋体"/>
                <w:b/>
                <w:sz w:val="21"/>
                <w:szCs w:val="21"/>
              </w:rPr>
              <w:t>2020年04月01日 上午04月01日 下午</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30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pStyle w:val="2"/>
      </w:pP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360" w:lineRule="auto"/>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360" w:lineRule="auto"/>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江西欣盛泰实业有限公司是一家专门从事城市公共交通亭（棚）、广告棚（牌）、旅游咨询亭、治安亭（棚）、户外各类收费亭、报刊亭的生产及公共自行车服务亭（停车棚）的生产零售、国内贸易的公司。公司于2012年4月成立，注册资金3680万元。</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注册地址和生产经营地址：江西省樟树市城北（张家山）工业园1号路；</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公司</w:t>
            </w:r>
            <w:r>
              <w:rPr>
                <w:rFonts w:hint="default" w:ascii="宋体" w:hAnsi="宋体" w:cs="Arial"/>
                <w:color w:val="auto"/>
                <w:spacing w:val="-6"/>
                <w:sz w:val="21"/>
                <w:szCs w:val="21"/>
                <w:lang w:val="en-US" w:eastAsia="zh-CN"/>
              </w:rPr>
              <w:t>通过定期的网站获取、顾客沟通、及定期内部总结等方式</w:t>
            </w:r>
            <w:r>
              <w:rPr>
                <w:rFonts w:hint="eastAsia" w:ascii="宋体" w:hAnsi="宋体" w:cs="Arial"/>
                <w:color w:val="auto"/>
                <w:spacing w:val="-6"/>
                <w:sz w:val="21"/>
                <w:szCs w:val="21"/>
                <w:lang w:val="en-US" w:eastAsia="zh-CN"/>
              </w:rPr>
              <w:t>对内外部因素</w:t>
            </w:r>
            <w:r>
              <w:rPr>
                <w:rFonts w:hint="default" w:ascii="宋体" w:hAnsi="宋体" w:cs="Arial"/>
                <w:color w:val="auto"/>
                <w:spacing w:val="-6"/>
                <w:sz w:val="21"/>
                <w:szCs w:val="21"/>
                <w:lang w:val="en-US" w:eastAsia="zh-CN"/>
              </w:rPr>
              <w:t>进行监视和评审</w:t>
            </w:r>
            <w:r>
              <w:rPr>
                <w:rFonts w:hint="eastAsia" w:ascii="宋体" w:hAnsi="宋体" w:cs="Arial"/>
                <w:color w:val="auto"/>
                <w:spacing w:val="-6"/>
                <w:sz w:val="21"/>
                <w:szCs w:val="21"/>
                <w:lang w:val="en-US" w:eastAsia="zh-CN"/>
              </w:rPr>
              <w:t>：</w:t>
            </w:r>
          </w:p>
          <w:p>
            <w:pPr>
              <w:adjustRightInd w:val="0"/>
              <w:snapToGrid w:val="0"/>
              <w:spacing w:line="360" w:lineRule="auto"/>
              <w:ind w:right="120" w:rightChars="50" w:firstLine="396" w:firstLineChars="200"/>
              <w:textAlignment w:val="baseline"/>
              <w:rPr>
                <w:rFonts w:hint="default" w:ascii="宋体" w:hAnsi="宋体" w:cs="Arial"/>
                <w:color w:val="auto"/>
                <w:spacing w:val="-6"/>
                <w:sz w:val="21"/>
                <w:szCs w:val="21"/>
                <w:lang w:val="en-US" w:eastAsia="zh-CN"/>
              </w:rPr>
            </w:pPr>
            <w:r>
              <w:rPr>
                <w:rFonts w:hint="default" w:ascii="宋体" w:hAnsi="宋体" w:cs="Arial"/>
                <w:color w:val="auto"/>
                <w:spacing w:val="-6"/>
                <w:sz w:val="21"/>
                <w:szCs w:val="21"/>
                <w:lang w:val="en-US" w:eastAsia="zh-CN"/>
              </w:rPr>
              <w:t>外部因素：</w:t>
            </w:r>
          </w:p>
          <w:p>
            <w:pPr>
              <w:adjustRightInd w:val="0"/>
              <w:snapToGrid w:val="0"/>
              <w:spacing w:line="360" w:lineRule="auto"/>
              <w:ind w:right="120" w:rightChars="50" w:firstLine="396" w:firstLineChars="200"/>
              <w:textAlignment w:val="baseline"/>
              <w:rPr>
                <w:rFonts w:hint="default" w:ascii="宋体" w:hAnsi="宋体" w:cs="Arial"/>
                <w:color w:val="auto"/>
                <w:spacing w:val="-6"/>
                <w:sz w:val="21"/>
                <w:szCs w:val="21"/>
                <w:lang w:val="en-US" w:eastAsia="zh-CN"/>
              </w:rPr>
            </w:pPr>
            <w:r>
              <w:rPr>
                <w:rFonts w:hint="default" w:ascii="宋体" w:hAnsi="宋体" w:cs="Arial"/>
                <w:color w:val="auto"/>
                <w:spacing w:val="-6"/>
                <w:sz w:val="21"/>
                <w:szCs w:val="21"/>
                <w:lang w:val="en-US" w:eastAsia="zh-CN"/>
              </w:rPr>
              <w:t>金属制品等行业持续新建发展带来的机遇，安全环保的法规和政府对生产加工业的环保性、安全性和质量提出了越来越高的要求，行业有着非常大的提升空间，并取得迅速的发展。</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国家政策合规性要求越来越高，产业化发展迅速，竞争激烈；</w:t>
            </w:r>
          </w:p>
          <w:p>
            <w:pPr>
              <w:adjustRightInd w:val="0"/>
              <w:snapToGrid w:val="0"/>
              <w:spacing w:line="360" w:lineRule="auto"/>
              <w:ind w:right="120" w:rightChars="50" w:firstLine="396" w:firstLineChars="200"/>
              <w:textAlignment w:val="baseline"/>
              <w:rPr>
                <w:rFonts w:hint="default"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地方政府在市政建设投入加大，市场需求加大；</w:t>
            </w:r>
          </w:p>
          <w:p>
            <w:pPr>
              <w:adjustRightInd w:val="0"/>
              <w:snapToGrid w:val="0"/>
              <w:spacing w:line="360" w:lineRule="auto"/>
              <w:ind w:right="120" w:rightChars="50" w:firstLine="396" w:firstLineChars="200"/>
              <w:textAlignment w:val="baseline"/>
              <w:rPr>
                <w:rFonts w:hint="default" w:ascii="宋体" w:hAnsi="宋体" w:cs="Arial"/>
                <w:color w:val="auto"/>
                <w:spacing w:val="-6"/>
                <w:sz w:val="21"/>
                <w:szCs w:val="21"/>
                <w:lang w:val="en-US" w:eastAsia="zh-CN"/>
              </w:rPr>
            </w:pPr>
            <w:r>
              <w:rPr>
                <w:rFonts w:hint="default" w:ascii="宋体" w:hAnsi="宋体" w:cs="Arial"/>
                <w:color w:val="auto"/>
                <w:spacing w:val="-6"/>
                <w:sz w:val="21"/>
                <w:szCs w:val="21"/>
                <w:lang w:val="en-US" w:eastAsia="zh-CN"/>
              </w:rPr>
              <w:t>国内文化、社会因素影响因素很小。</w:t>
            </w:r>
          </w:p>
          <w:p>
            <w:pPr>
              <w:adjustRightInd w:val="0"/>
              <w:snapToGrid w:val="0"/>
              <w:spacing w:line="360" w:lineRule="auto"/>
              <w:ind w:right="120" w:rightChars="50" w:firstLine="396" w:firstLineChars="200"/>
              <w:textAlignment w:val="baseline"/>
              <w:rPr>
                <w:rFonts w:hint="default" w:ascii="宋体" w:hAnsi="宋体" w:cs="Arial"/>
                <w:color w:val="auto"/>
                <w:spacing w:val="-6"/>
                <w:sz w:val="21"/>
                <w:szCs w:val="21"/>
                <w:lang w:val="en-US" w:eastAsia="zh-CN"/>
              </w:rPr>
            </w:pPr>
            <w:r>
              <w:rPr>
                <w:rFonts w:hint="default" w:ascii="宋体" w:hAnsi="宋体" w:cs="Arial"/>
                <w:color w:val="auto"/>
                <w:spacing w:val="-6"/>
                <w:sz w:val="21"/>
                <w:szCs w:val="21"/>
                <w:lang w:val="en-US" w:eastAsia="zh-CN"/>
              </w:rPr>
              <w:t>与同类企业相比，具有</w:t>
            </w:r>
            <w:r>
              <w:rPr>
                <w:rFonts w:hint="eastAsia" w:ascii="宋体" w:hAnsi="宋体" w:cs="Arial"/>
                <w:color w:val="auto"/>
                <w:spacing w:val="-6"/>
                <w:sz w:val="21"/>
                <w:szCs w:val="21"/>
                <w:lang w:val="en-US" w:eastAsia="zh-CN"/>
              </w:rPr>
              <w:t>设备先进、</w:t>
            </w:r>
            <w:r>
              <w:rPr>
                <w:rFonts w:hint="default" w:ascii="宋体" w:hAnsi="宋体" w:cs="Arial"/>
                <w:color w:val="auto"/>
                <w:spacing w:val="-6"/>
                <w:sz w:val="21"/>
                <w:szCs w:val="21"/>
                <w:lang w:val="en-US" w:eastAsia="zh-CN"/>
              </w:rPr>
              <w:t>人员少、生产效率高</w:t>
            </w:r>
            <w:r>
              <w:rPr>
                <w:rFonts w:hint="eastAsia" w:ascii="宋体" w:hAnsi="宋体" w:cs="Arial"/>
                <w:color w:val="auto"/>
                <w:spacing w:val="-6"/>
                <w:sz w:val="21"/>
                <w:szCs w:val="21"/>
                <w:lang w:val="en-US" w:eastAsia="zh-CN"/>
              </w:rPr>
              <w:t>、</w:t>
            </w:r>
            <w:r>
              <w:rPr>
                <w:rFonts w:hint="default" w:ascii="宋体" w:hAnsi="宋体" w:cs="Arial"/>
                <w:color w:val="auto"/>
                <w:spacing w:val="-6"/>
                <w:sz w:val="21"/>
                <w:szCs w:val="21"/>
                <w:lang w:val="en-US" w:eastAsia="zh-CN"/>
              </w:rPr>
              <w:t>生产周期短、技术力量</w:t>
            </w:r>
            <w:r>
              <w:rPr>
                <w:rFonts w:hint="eastAsia" w:ascii="宋体" w:hAnsi="宋体" w:cs="Arial"/>
                <w:color w:val="auto"/>
                <w:spacing w:val="-6"/>
                <w:sz w:val="21"/>
                <w:szCs w:val="21"/>
                <w:lang w:val="en-US" w:eastAsia="zh-CN"/>
              </w:rPr>
              <w:t>强等</w:t>
            </w:r>
            <w:r>
              <w:rPr>
                <w:rFonts w:hint="default" w:ascii="宋体" w:hAnsi="宋体" w:cs="Arial"/>
                <w:color w:val="auto"/>
                <w:spacing w:val="-6"/>
                <w:sz w:val="21"/>
                <w:szCs w:val="21"/>
                <w:lang w:val="en-US" w:eastAsia="zh-CN"/>
              </w:rPr>
              <w:t>优势。</w:t>
            </w:r>
          </w:p>
          <w:p>
            <w:pPr>
              <w:adjustRightInd w:val="0"/>
              <w:snapToGrid w:val="0"/>
              <w:spacing w:line="360" w:lineRule="auto"/>
              <w:ind w:right="120" w:rightChars="50" w:firstLine="396" w:firstLineChars="200"/>
              <w:textAlignment w:val="baseline"/>
              <w:rPr>
                <w:rFonts w:hint="default" w:ascii="宋体" w:hAnsi="宋体" w:cs="Arial"/>
                <w:color w:val="auto"/>
                <w:spacing w:val="-6"/>
                <w:sz w:val="21"/>
                <w:szCs w:val="21"/>
                <w:lang w:val="en-US" w:eastAsia="zh-CN"/>
              </w:rPr>
            </w:pPr>
            <w:r>
              <w:rPr>
                <w:rFonts w:hint="default" w:ascii="宋体" w:hAnsi="宋体" w:cs="Arial"/>
                <w:color w:val="auto"/>
                <w:spacing w:val="-6"/>
                <w:sz w:val="21"/>
                <w:szCs w:val="21"/>
                <w:lang w:val="en-US" w:eastAsia="zh-CN"/>
              </w:rPr>
              <w:t>内部因素：</w:t>
            </w:r>
          </w:p>
          <w:p>
            <w:pPr>
              <w:adjustRightInd w:val="0"/>
              <w:snapToGrid w:val="0"/>
              <w:spacing w:line="360" w:lineRule="auto"/>
              <w:ind w:right="120" w:rightChars="50" w:firstLine="396" w:firstLineChars="200"/>
              <w:textAlignment w:val="baseline"/>
              <w:rPr>
                <w:rFonts w:hint="default" w:ascii="宋体" w:hAnsi="宋体" w:cs="Arial"/>
                <w:color w:val="auto"/>
                <w:spacing w:val="-6"/>
                <w:sz w:val="21"/>
                <w:szCs w:val="21"/>
                <w:lang w:val="en-US" w:eastAsia="zh-CN"/>
              </w:rPr>
            </w:pPr>
            <w:r>
              <w:rPr>
                <w:rFonts w:hint="default" w:ascii="宋体" w:hAnsi="宋体" w:cs="Arial"/>
                <w:color w:val="auto"/>
                <w:spacing w:val="-6"/>
                <w:sz w:val="21"/>
                <w:szCs w:val="21"/>
                <w:lang w:val="en-US" w:eastAsia="zh-CN"/>
              </w:rPr>
              <w:t>公司的人员均为有多年生产实践经验和质检及相关岗位管理工作经验</w:t>
            </w:r>
            <w:r>
              <w:rPr>
                <w:rFonts w:hint="eastAsia" w:ascii="宋体" w:hAnsi="宋体" w:cs="Arial"/>
                <w:color w:val="auto"/>
                <w:spacing w:val="-6"/>
                <w:sz w:val="21"/>
                <w:szCs w:val="21"/>
                <w:lang w:val="en-US" w:eastAsia="zh-CN"/>
              </w:rPr>
              <w:t>；</w:t>
            </w:r>
            <w:r>
              <w:rPr>
                <w:rFonts w:hint="default" w:ascii="宋体" w:hAnsi="宋体" w:cs="Arial"/>
                <w:color w:val="auto"/>
                <w:spacing w:val="-6"/>
                <w:sz w:val="21"/>
                <w:szCs w:val="21"/>
                <w:lang w:val="en-US" w:eastAsia="zh-CN"/>
              </w:rPr>
              <w:t>生产技术人员全部经过技能/合规性培训，业务熟练，质量意识</w:t>
            </w:r>
            <w:r>
              <w:rPr>
                <w:rFonts w:hint="eastAsia" w:ascii="宋体" w:hAnsi="宋体" w:cs="Arial"/>
                <w:color w:val="auto"/>
                <w:spacing w:val="-6"/>
                <w:sz w:val="21"/>
                <w:szCs w:val="21"/>
                <w:lang w:val="en-US" w:eastAsia="zh-CN"/>
              </w:rPr>
              <w:t>、</w:t>
            </w:r>
            <w:r>
              <w:rPr>
                <w:rFonts w:hint="default" w:ascii="宋体" w:hAnsi="宋体" w:cs="Arial"/>
                <w:color w:val="auto"/>
                <w:spacing w:val="-6"/>
                <w:sz w:val="21"/>
                <w:szCs w:val="21"/>
                <w:lang w:val="en-US" w:eastAsia="zh-CN"/>
              </w:rPr>
              <w:t>环境保护意识</w:t>
            </w:r>
            <w:r>
              <w:rPr>
                <w:rFonts w:hint="eastAsia" w:ascii="宋体" w:hAnsi="宋体" w:cs="Arial"/>
                <w:color w:val="auto"/>
                <w:spacing w:val="-6"/>
                <w:sz w:val="21"/>
                <w:szCs w:val="21"/>
                <w:lang w:val="en-US" w:eastAsia="zh-CN"/>
              </w:rPr>
              <w:t>、职业健康安全意识</w:t>
            </w:r>
            <w:r>
              <w:rPr>
                <w:rFonts w:hint="default" w:ascii="宋体" w:hAnsi="宋体" w:cs="Arial"/>
                <w:color w:val="auto"/>
                <w:spacing w:val="-6"/>
                <w:sz w:val="21"/>
                <w:szCs w:val="21"/>
                <w:lang w:val="en-US" w:eastAsia="zh-CN"/>
              </w:rPr>
              <w:t>较强。</w:t>
            </w:r>
          </w:p>
          <w:p>
            <w:pPr>
              <w:adjustRightInd w:val="0"/>
              <w:snapToGrid w:val="0"/>
              <w:spacing w:line="360" w:lineRule="auto"/>
              <w:ind w:right="120" w:rightChars="50" w:firstLine="396" w:firstLineChars="200"/>
              <w:textAlignment w:val="baseline"/>
              <w:rPr>
                <w:rFonts w:hint="default" w:ascii="宋体" w:hAnsi="宋体" w:cs="Arial"/>
                <w:color w:val="auto"/>
                <w:spacing w:val="-6"/>
                <w:sz w:val="21"/>
                <w:szCs w:val="21"/>
                <w:lang w:val="en-US" w:eastAsia="zh-CN"/>
              </w:rPr>
            </w:pPr>
            <w:r>
              <w:rPr>
                <w:rFonts w:hint="default" w:ascii="宋体" w:hAnsi="宋体" w:cs="Arial"/>
                <w:color w:val="auto"/>
                <w:spacing w:val="-6"/>
                <w:sz w:val="21"/>
                <w:szCs w:val="21"/>
                <w:lang w:val="en-US" w:eastAsia="zh-CN"/>
              </w:rPr>
              <w:t>采用先进成熟的生产工艺，产品</w:t>
            </w:r>
            <w:r>
              <w:rPr>
                <w:rFonts w:hint="eastAsia" w:ascii="宋体" w:hAnsi="宋体" w:cs="Arial"/>
                <w:color w:val="auto"/>
                <w:spacing w:val="-6"/>
                <w:sz w:val="21"/>
                <w:szCs w:val="21"/>
                <w:lang w:val="en-US" w:eastAsia="zh-CN"/>
              </w:rPr>
              <w:t>质量、</w:t>
            </w:r>
            <w:r>
              <w:rPr>
                <w:rFonts w:hint="default" w:ascii="宋体" w:hAnsi="宋体" w:cs="Arial"/>
                <w:color w:val="auto"/>
                <w:spacing w:val="-6"/>
                <w:sz w:val="21"/>
                <w:szCs w:val="21"/>
                <w:lang w:val="en-US" w:eastAsia="zh-CN"/>
              </w:rPr>
              <w:t>环境、职业健康安全有保证，规模较大，产能</w:t>
            </w:r>
            <w:r>
              <w:rPr>
                <w:rFonts w:hint="eastAsia" w:ascii="宋体" w:hAnsi="宋体" w:cs="Arial"/>
                <w:color w:val="auto"/>
                <w:spacing w:val="-6"/>
                <w:sz w:val="21"/>
                <w:szCs w:val="21"/>
                <w:lang w:val="en-US" w:eastAsia="zh-CN"/>
              </w:rPr>
              <w:t>稍显不足</w:t>
            </w:r>
            <w:r>
              <w:rPr>
                <w:rFonts w:hint="default" w:ascii="宋体" w:hAnsi="宋体" w:cs="Arial"/>
                <w:color w:val="auto"/>
                <w:spacing w:val="-6"/>
                <w:sz w:val="21"/>
                <w:szCs w:val="21"/>
                <w:lang w:val="en-US" w:eastAsia="zh-CN"/>
              </w:rPr>
              <w:t>。</w:t>
            </w:r>
          </w:p>
          <w:p>
            <w:pPr>
              <w:spacing w:line="360" w:lineRule="auto"/>
              <w:rPr>
                <w:rFonts w:hint="eastAsia" w:ascii="宋体" w:hAnsi="宋体" w:cs="Arial"/>
                <w:color w:val="FF0000"/>
                <w:spacing w:val="-6"/>
                <w:sz w:val="21"/>
                <w:szCs w:val="21"/>
                <w:lang w:val="en-US" w:eastAsia="zh-CN"/>
              </w:rPr>
            </w:pPr>
            <w:r>
              <w:rPr>
                <w:rFonts w:hint="default" w:ascii="宋体" w:hAnsi="宋体" w:cs="Arial"/>
                <w:color w:val="auto"/>
                <w:spacing w:val="-6"/>
                <w:sz w:val="21"/>
                <w:szCs w:val="21"/>
                <w:lang w:val="en-US" w:eastAsia="zh-CN"/>
              </w:rPr>
              <w:t>公司</w:t>
            </w:r>
            <w:r>
              <w:rPr>
                <w:rFonts w:hint="eastAsia" w:ascii="宋体" w:hAnsi="宋体" w:cs="Arial"/>
                <w:color w:val="auto"/>
                <w:spacing w:val="-6"/>
                <w:sz w:val="21"/>
                <w:szCs w:val="21"/>
                <w:lang w:val="en-US" w:eastAsia="zh-CN"/>
              </w:rPr>
              <w:t>资产负债率不到30%，</w:t>
            </w:r>
            <w:r>
              <w:rPr>
                <w:rFonts w:hint="default" w:ascii="宋体" w:hAnsi="宋体" w:cs="Arial"/>
                <w:color w:val="auto"/>
                <w:spacing w:val="-6"/>
                <w:sz w:val="21"/>
                <w:szCs w:val="21"/>
                <w:lang w:val="en-US" w:eastAsia="zh-CN"/>
              </w:rPr>
              <w:t>财务能保障公司质量/环境/职业健康安全管理体系运行所需</w:t>
            </w:r>
            <w:r>
              <w:rPr>
                <w:rFonts w:hint="eastAsia" w:ascii="宋体" w:hAnsi="宋体" w:cs="Arial"/>
                <w:color w:val="auto"/>
                <w:spacing w:val="-6"/>
                <w:sz w:val="21"/>
                <w:szCs w:val="21"/>
                <w:lang w:val="en-US" w:eastAsia="zh-CN"/>
              </w:rPr>
              <w:t>，</w:t>
            </w:r>
            <w:r>
              <w:rPr>
                <w:rFonts w:hint="default" w:ascii="宋体" w:hAnsi="宋体" w:cs="Arial"/>
                <w:color w:val="auto"/>
                <w:spacing w:val="-6"/>
                <w:sz w:val="21"/>
                <w:szCs w:val="21"/>
                <w:lang w:val="en-US" w:eastAsia="zh-CN"/>
              </w:rPr>
              <w:t>公司的技术、销售基础设施、环保安全设施配备齐全、过程运行环境控制良好</w:t>
            </w:r>
            <w:r>
              <w:rPr>
                <w:rFonts w:hint="eastAsia" w:ascii="宋体" w:hAnsi="宋体" w:cs="Arial"/>
                <w:color w:val="auto"/>
                <w:spacing w:val="-6"/>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360" w:lineRule="auto"/>
              <w:ind w:left="241" w:right="113" w:hanging="241" w:hangingChars="100"/>
              <w:jc w:val="center"/>
              <w:rPr>
                <w:rFonts w:ascii="宋体"/>
                <w:b/>
                <w:szCs w:val="21"/>
              </w:rPr>
            </w:pPr>
          </w:p>
        </w:tc>
        <w:tc>
          <w:tcPr>
            <w:tcW w:w="9198" w:type="dxa"/>
          </w:tcPr>
          <w:p>
            <w:pPr>
              <w:spacing w:line="360" w:lineRule="auto"/>
              <w:rPr>
                <w:rFonts w:hint="eastAsia"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cs="Arial"/>
                <w:spacing w:val="-6"/>
                <w:sz w:val="21"/>
                <w:szCs w:val="21"/>
                <w:lang w:val="en-US" w:eastAsia="zh-CN"/>
              </w:rPr>
              <w:t>公司确定了与质量、环境、职业健康安全管理体系有关的相关方，主要包括：顾客、股东、员工、业务往来单位、供应商、第三方认证服务机构、外来施工单位、环保局、应急管理局、市场监督、供电所、员工等；</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cs="Arial"/>
                <w:spacing w:val="-6"/>
                <w:sz w:val="21"/>
                <w:szCs w:val="21"/>
                <w:lang w:val="en-US" w:eastAsia="zh-CN"/>
              </w:rPr>
              <w:t>相关方对企业的要求有：遵守国家的现行法律法规、保持有效的资质、生产的产品节能环保，对环境无重大污染、无安全隐患、不断提高技术水平以及不断提高客户满意度等。</w:t>
            </w:r>
          </w:p>
          <w:p>
            <w:pPr>
              <w:adjustRightInd w:val="0"/>
              <w:snapToGrid w:val="0"/>
              <w:spacing w:line="360" w:lineRule="auto"/>
              <w:ind w:right="120" w:rightChars="50" w:firstLine="396" w:firstLineChars="200"/>
              <w:textAlignment w:val="baseline"/>
              <w:rPr>
                <w:rFonts w:hint="eastAsia" w:ascii="宋体" w:hAnsi="宋体"/>
                <w:b/>
                <w:sz w:val="21"/>
                <w:szCs w:val="21"/>
              </w:rPr>
            </w:pPr>
            <w:r>
              <w:rPr>
                <w:rFonts w:hint="default" w:ascii="宋体" w:hAnsi="宋体" w:cs="Arial"/>
                <w:spacing w:val="-6"/>
                <w:sz w:val="21"/>
                <w:szCs w:val="21"/>
                <w:lang w:val="en-US" w:eastAsia="zh-CN"/>
              </w:rPr>
              <w:t>对这些相关方</w:t>
            </w:r>
            <w:r>
              <w:rPr>
                <w:rFonts w:hint="eastAsia" w:ascii="宋体" w:hAnsi="宋体" w:cs="Arial"/>
                <w:spacing w:val="-6"/>
                <w:sz w:val="21"/>
                <w:szCs w:val="21"/>
                <w:lang w:val="en-US" w:eastAsia="zh-CN"/>
              </w:rPr>
              <w:t>进行了不定期的监视</w:t>
            </w:r>
            <w:r>
              <w:rPr>
                <w:rFonts w:hint="default" w:ascii="宋体" w:hAnsi="宋体" w:cs="Arial"/>
                <w:spacing w:val="-6"/>
                <w:sz w:val="21"/>
                <w:szCs w:val="21"/>
                <w:lang w:val="en-US" w:eastAsia="zh-CN"/>
              </w:rPr>
              <w:t>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360" w:lineRule="auto"/>
              <w:ind w:left="241" w:right="113" w:hanging="241" w:hangingChars="100"/>
              <w:jc w:val="center"/>
              <w:rPr>
                <w:rFonts w:ascii="宋体"/>
                <w:b/>
                <w:szCs w:val="21"/>
              </w:rPr>
            </w:pPr>
          </w:p>
        </w:tc>
        <w:tc>
          <w:tcPr>
            <w:tcW w:w="9198" w:type="dxa"/>
          </w:tcPr>
          <w:p>
            <w:pPr>
              <w:spacing w:line="360" w:lineRule="auto"/>
              <w:rPr>
                <w:rFonts w:hint="eastAsia" w:ascii="宋体" w:hAnsi="宋体"/>
                <w:b/>
                <w:sz w:val="21"/>
                <w:szCs w:val="21"/>
              </w:rPr>
            </w:pPr>
            <w:r>
              <w:rPr>
                <w:rFonts w:ascii="宋体" w:hAnsi="宋体"/>
                <w:b/>
                <w:sz w:val="21"/>
                <w:szCs w:val="21"/>
              </w:rPr>
              <w:t>3.</w:t>
            </w: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环境</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adjustRightInd w:val="0"/>
              <w:snapToGrid w:val="0"/>
              <w:spacing w:line="360" w:lineRule="auto"/>
              <w:ind w:right="120" w:rightChars="50" w:firstLine="396" w:firstLineChars="20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 xml:space="preserve">质量至上、持续创新、诚实守信、顾客至上 </w:t>
            </w:r>
          </w:p>
          <w:p>
            <w:pPr>
              <w:adjustRightInd w:val="0"/>
              <w:snapToGrid w:val="0"/>
              <w:spacing w:line="360" w:lineRule="auto"/>
              <w:ind w:right="120" w:rightChars="50" w:firstLine="396" w:firstLineChars="20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预防为主，降低风险；遵章守法，创造和谐</w:t>
            </w:r>
          </w:p>
          <w:p>
            <w:pPr>
              <w:adjustRightInd w:val="0"/>
              <w:snapToGrid w:val="0"/>
              <w:spacing w:line="360" w:lineRule="auto"/>
              <w:ind w:right="120" w:rightChars="50" w:firstLine="396" w:firstLineChars="200"/>
              <w:textAlignment w:val="baseline"/>
              <w:rPr>
                <w:rFonts w:hint="eastAsia" w:ascii="宋体" w:hAnsi="宋体"/>
                <w:b/>
                <w:sz w:val="21"/>
                <w:szCs w:val="21"/>
              </w:rPr>
            </w:pPr>
            <w:r>
              <w:rPr>
                <w:rFonts w:hint="eastAsia" w:ascii="宋体" w:hAnsi="宋体" w:eastAsia="宋体" w:cs="Arial"/>
                <w:spacing w:val="-6"/>
                <w:sz w:val="21"/>
                <w:szCs w:val="21"/>
                <w:lang w:val="en-US" w:eastAsia="zh-CN"/>
              </w:rPr>
              <w:t>方针适宜于公司现状，在管理手册中明确，通过文件发放，使员工获知，适用时提供给相关方。</w:t>
            </w:r>
          </w:p>
          <w:p>
            <w:pPr>
              <w:adjustRightInd w:val="0"/>
              <w:snapToGrid w:val="0"/>
              <w:spacing w:line="360" w:lineRule="auto"/>
              <w:ind w:right="120" w:rightChars="50" w:firstLine="396" w:firstLineChars="20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管理评审对质量、环境、职业健康安全方针的适宜性作了评审，判定适宜，适合公司的发展需求。</w:t>
            </w:r>
          </w:p>
          <w:p>
            <w:pPr>
              <w:adjustRightInd w:val="0"/>
              <w:snapToGrid w:val="0"/>
              <w:spacing w:line="360" w:lineRule="auto"/>
              <w:ind w:right="120" w:rightChars="50" w:firstLine="396" w:firstLineChars="200"/>
              <w:textAlignment w:val="baseline"/>
              <w:rPr>
                <w:rFonts w:hint="eastAsia" w:ascii="宋体" w:hAnsi="宋体"/>
                <w:b/>
                <w:sz w:val="21"/>
                <w:szCs w:val="21"/>
              </w:rPr>
            </w:pPr>
            <w:r>
              <w:rPr>
                <w:rFonts w:hint="eastAsia" w:ascii="宋体" w:hAnsi="宋体" w:eastAsia="宋体" w:cs="Arial"/>
                <w:spacing w:val="-6"/>
                <w:sz w:val="21"/>
                <w:szCs w:val="21"/>
                <w:lang w:val="en-US" w:eastAsia="zh-CN"/>
              </w:rPr>
              <w:t>质量、环境、职业健康安全方针能符合标准要求。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360" w:lineRule="auto"/>
              <w:ind w:left="241" w:right="113" w:hanging="241" w:hangingChars="100"/>
              <w:jc w:val="center"/>
              <w:rPr>
                <w:rFonts w:ascii="宋体"/>
                <w:b/>
                <w:szCs w:val="21"/>
              </w:rPr>
            </w:pPr>
          </w:p>
        </w:tc>
        <w:tc>
          <w:tcPr>
            <w:tcW w:w="9198" w:type="dxa"/>
          </w:tcPr>
          <w:p>
            <w:pPr>
              <w:spacing w:line="360" w:lineRule="auto"/>
              <w:rPr>
                <w:rFonts w:hint="eastAsia"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基于对4.1和4.2的考虑，分析了公司存在的风险和机遇：</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eastAsia" w:ascii="宋体" w:hAnsi="宋体" w:cs="Arial"/>
                <w:spacing w:val="-6"/>
                <w:sz w:val="21"/>
                <w:szCs w:val="21"/>
                <w:lang w:val="en-US" w:eastAsia="zh-CN"/>
              </w:rPr>
              <w:t>机遇：</w:t>
            </w:r>
            <w:r>
              <w:rPr>
                <w:rFonts w:hint="default" w:ascii="宋体" w:hAnsi="宋体" w:cs="Arial"/>
                <w:spacing w:val="-6"/>
                <w:sz w:val="21"/>
                <w:szCs w:val="21"/>
                <w:lang w:val="en-US" w:eastAsia="zh-CN"/>
              </w:rPr>
              <w:t>行业市场的规模化，市场需求量很大</w:t>
            </w:r>
            <w:r>
              <w:rPr>
                <w:rFonts w:hint="eastAsia" w:ascii="宋体" w:hAnsi="宋体" w:cs="Arial"/>
                <w:spacing w:val="-6"/>
                <w:sz w:val="21"/>
                <w:szCs w:val="21"/>
                <w:lang w:val="en-US" w:eastAsia="zh-CN"/>
              </w:rPr>
              <w:t>，</w:t>
            </w:r>
            <w:r>
              <w:rPr>
                <w:rFonts w:hint="default" w:ascii="宋体" w:hAnsi="宋体" w:cs="Arial"/>
                <w:spacing w:val="-6"/>
                <w:sz w:val="21"/>
                <w:szCs w:val="21"/>
                <w:lang w:val="en-US" w:eastAsia="zh-CN"/>
              </w:rPr>
              <w:t>销售市场巨大，目前市场经济对企业有较好的推动作用。</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eastAsia" w:ascii="宋体" w:hAnsi="宋体" w:cs="Arial"/>
                <w:spacing w:val="-6"/>
                <w:sz w:val="21"/>
                <w:szCs w:val="21"/>
                <w:lang w:val="en-US" w:eastAsia="zh-CN"/>
              </w:rPr>
              <w:t>风险：</w:t>
            </w:r>
            <w:r>
              <w:rPr>
                <w:rFonts w:hint="default" w:ascii="宋体" w:hAnsi="宋体" w:cs="Arial"/>
                <w:spacing w:val="-6"/>
                <w:sz w:val="21"/>
                <w:szCs w:val="21"/>
                <w:lang w:val="en-US" w:eastAsia="zh-CN"/>
              </w:rPr>
              <w:t>目前国内市场的同类产品有较多的品牌，竞争逐渐加剧</w:t>
            </w:r>
            <w:r>
              <w:rPr>
                <w:rFonts w:hint="eastAsia" w:ascii="宋体" w:hAnsi="宋体" w:cs="Arial"/>
                <w:spacing w:val="-6"/>
                <w:sz w:val="21"/>
                <w:szCs w:val="21"/>
                <w:lang w:val="en-US" w:eastAsia="zh-CN"/>
              </w:rPr>
              <w:t>，公司产能受限带来一定的交期风险</w:t>
            </w:r>
            <w:r>
              <w:rPr>
                <w:rFonts w:hint="default" w:ascii="宋体" w:hAnsi="宋体" w:cs="Arial"/>
                <w:spacing w:val="-6"/>
                <w:sz w:val="21"/>
                <w:szCs w:val="21"/>
                <w:lang w:val="en-US" w:eastAsia="zh-CN"/>
              </w:rPr>
              <w:t>。</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cs="Arial"/>
                <w:spacing w:val="-6"/>
                <w:sz w:val="21"/>
                <w:szCs w:val="21"/>
                <w:lang w:val="en-US" w:eastAsia="zh-CN"/>
              </w:rPr>
              <w:t>编制有《风险和机遇的应对控制程序》，对组织内外的风险和机遇进行了策划。</w:t>
            </w:r>
            <w:r>
              <w:rPr>
                <w:rFonts w:hint="eastAsia" w:ascii="宋体" w:hAnsi="宋体" w:cs="Arial"/>
                <w:spacing w:val="-6"/>
                <w:sz w:val="21"/>
                <w:szCs w:val="21"/>
                <w:lang w:val="en-US" w:eastAsia="zh-CN"/>
              </w:rPr>
              <w:t>介绍说，公司</w:t>
            </w:r>
            <w:r>
              <w:rPr>
                <w:rFonts w:hint="default" w:ascii="宋体" w:hAnsi="宋体" w:cs="Arial"/>
                <w:spacing w:val="-6"/>
                <w:sz w:val="21"/>
                <w:szCs w:val="21"/>
                <w:lang w:val="en-US" w:eastAsia="zh-CN"/>
              </w:rPr>
              <w:t>识别了风险和机遇来源、风险和机遇内容、管理措施、责任部门、实时时间、评价措施等</w:t>
            </w:r>
            <w:r>
              <w:rPr>
                <w:rFonts w:hint="eastAsia" w:ascii="宋体" w:hAnsi="宋体" w:cs="Arial"/>
                <w:spacing w:val="-6"/>
                <w:sz w:val="21"/>
                <w:szCs w:val="21"/>
                <w:lang w:val="en-US" w:eastAsia="zh-CN"/>
              </w:rPr>
              <w:t>；</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cs="Arial"/>
                <w:spacing w:val="-6"/>
                <w:sz w:val="21"/>
                <w:szCs w:val="21"/>
                <w:lang w:val="en-US" w:eastAsia="zh-CN"/>
              </w:rPr>
              <w:t>重大环境因素：吸入性伤害</w:t>
            </w:r>
            <w:r>
              <w:rPr>
                <w:rFonts w:hint="eastAsia" w:ascii="宋体" w:hAnsi="宋体" w:cs="Arial"/>
                <w:spacing w:val="-6"/>
                <w:sz w:val="21"/>
                <w:szCs w:val="21"/>
                <w:lang w:val="en-US" w:eastAsia="zh-CN"/>
              </w:rPr>
              <w:t>、</w:t>
            </w:r>
            <w:r>
              <w:rPr>
                <w:rFonts w:hint="default" w:ascii="宋体" w:hAnsi="宋体" w:cs="Arial"/>
                <w:spacing w:val="-6"/>
                <w:sz w:val="21"/>
                <w:szCs w:val="21"/>
                <w:lang w:val="en-US" w:eastAsia="zh-CN"/>
              </w:rPr>
              <w:t>人身伤害</w:t>
            </w:r>
            <w:r>
              <w:rPr>
                <w:rFonts w:hint="eastAsia" w:ascii="宋体" w:hAnsi="宋体" w:cs="Arial"/>
                <w:spacing w:val="-6"/>
                <w:sz w:val="21"/>
                <w:szCs w:val="21"/>
                <w:lang w:val="en-US" w:eastAsia="zh-CN"/>
              </w:rPr>
              <w:t>、</w:t>
            </w:r>
            <w:r>
              <w:rPr>
                <w:rFonts w:hint="default" w:ascii="宋体" w:hAnsi="宋体" w:cs="Arial"/>
                <w:spacing w:val="-6"/>
                <w:sz w:val="21"/>
                <w:szCs w:val="21"/>
                <w:lang w:val="en-US" w:eastAsia="zh-CN"/>
              </w:rPr>
              <w:t>吸入性伤害</w:t>
            </w:r>
            <w:r>
              <w:rPr>
                <w:rFonts w:hint="eastAsia" w:ascii="宋体" w:hAnsi="宋体" w:cs="Arial"/>
                <w:spacing w:val="-6"/>
                <w:sz w:val="21"/>
                <w:szCs w:val="21"/>
                <w:lang w:val="en-US" w:eastAsia="zh-CN"/>
              </w:rPr>
              <w:t>、</w:t>
            </w:r>
            <w:r>
              <w:rPr>
                <w:rFonts w:hint="default" w:ascii="宋体" w:hAnsi="宋体" w:cs="Arial"/>
                <w:spacing w:val="-6"/>
                <w:sz w:val="21"/>
                <w:szCs w:val="21"/>
                <w:lang w:val="en-US" w:eastAsia="zh-CN"/>
              </w:rPr>
              <w:t>触电、火灾伤害</w:t>
            </w:r>
            <w:r>
              <w:rPr>
                <w:rFonts w:hint="eastAsia" w:ascii="宋体" w:hAnsi="宋体" w:cs="Arial"/>
                <w:spacing w:val="-6"/>
                <w:sz w:val="21"/>
                <w:szCs w:val="21"/>
                <w:lang w:val="en-US" w:eastAsia="zh-CN"/>
              </w:rPr>
              <w:t>；</w:t>
            </w:r>
          </w:p>
          <w:p>
            <w:pPr>
              <w:adjustRightInd w:val="0"/>
              <w:snapToGrid w:val="0"/>
              <w:spacing w:line="360" w:lineRule="auto"/>
              <w:ind w:right="120" w:rightChars="50" w:firstLine="396" w:firstLineChars="200"/>
              <w:textAlignment w:val="baseline"/>
              <w:rPr>
                <w:rFonts w:hint="default" w:ascii="宋体" w:hAnsi="宋体" w:eastAsia="宋体" w:cs="Arial"/>
                <w:spacing w:val="-6"/>
                <w:sz w:val="21"/>
                <w:szCs w:val="21"/>
                <w:lang w:val="en-US" w:eastAsia="zh-CN"/>
              </w:rPr>
            </w:pPr>
            <w:r>
              <w:rPr>
                <w:rFonts w:hint="eastAsia" w:ascii="宋体" w:hAnsi="宋体" w:cs="Arial"/>
                <w:spacing w:val="-6"/>
                <w:sz w:val="21"/>
                <w:szCs w:val="21"/>
                <w:lang w:val="en-US" w:eastAsia="zh-CN"/>
              </w:rPr>
              <w:t>策划了控制措施，制定有管理方案，</w:t>
            </w:r>
            <w:r>
              <w:rPr>
                <w:rFonts w:hint="default" w:ascii="宋体" w:hAnsi="宋体" w:eastAsia="宋体" w:cs="Arial"/>
                <w:spacing w:val="-6"/>
                <w:sz w:val="21"/>
                <w:szCs w:val="21"/>
                <w:lang w:val="en-US" w:eastAsia="zh-CN"/>
              </w:rPr>
              <w:t>一旦发生按相关应急预案执行。</w:t>
            </w:r>
          </w:p>
          <w:p>
            <w:pPr>
              <w:adjustRightInd w:val="0"/>
              <w:snapToGrid w:val="0"/>
              <w:spacing w:line="360" w:lineRule="auto"/>
              <w:ind w:right="120" w:rightChars="50" w:firstLine="396" w:firstLineChars="200"/>
              <w:textAlignment w:val="baseline"/>
              <w:rPr>
                <w:rFonts w:hint="default" w:ascii="宋体" w:hAnsi="宋体" w:eastAsia="宋体" w:cs="Arial"/>
                <w:spacing w:val="-6"/>
                <w:sz w:val="21"/>
                <w:szCs w:val="21"/>
                <w:highlight w:val="none"/>
                <w:lang w:val="en-US" w:eastAsia="zh-CN"/>
              </w:rPr>
            </w:pPr>
            <w:r>
              <w:rPr>
                <w:rFonts w:hint="default" w:ascii="宋体" w:hAnsi="宋体" w:eastAsia="宋体" w:cs="Arial"/>
                <w:spacing w:val="-6"/>
                <w:sz w:val="21"/>
                <w:szCs w:val="21"/>
                <w:highlight w:val="none"/>
                <w:lang w:val="en-US" w:eastAsia="zh-CN"/>
              </w:rPr>
              <w:t>不可接受风险：机械伤害</w:t>
            </w:r>
            <w:r>
              <w:rPr>
                <w:rFonts w:hint="eastAsia" w:ascii="宋体" w:hAnsi="宋体" w:cs="Arial"/>
                <w:spacing w:val="-6"/>
                <w:sz w:val="21"/>
                <w:szCs w:val="21"/>
                <w:highlight w:val="none"/>
                <w:lang w:val="en-US" w:eastAsia="zh-CN"/>
              </w:rPr>
              <w:t>、</w:t>
            </w:r>
            <w:r>
              <w:rPr>
                <w:rFonts w:hint="default" w:ascii="宋体" w:hAnsi="宋体" w:eastAsia="宋体" w:cs="Arial"/>
                <w:spacing w:val="-6"/>
                <w:sz w:val="21"/>
                <w:szCs w:val="21"/>
                <w:highlight w:val="none"/>
                <w:lang w:val="en-US" w:eastAsia="zh-CN"/>
              </w:rPr>
              <w:t>吸入性伤害</w:t>
            </w:r>
            <w:r>
              <w:rPr>
                <w:rFonts w:hint="eastAsia" w:ascii="宋体" w:hAnsi="宋体" w:cs="Arial"/>
                <w:spacing w:val="-6"/>
                <w:sz w:val="21"/>
                <w:szCs w:val="21"/>
                <w:highlight w:val="none"/>
                <w:lang w:val="en-US" w:eastAsia="zh-CN"/>
              </w:rPr>
              <w:t>、</w:t>
            </w:r>
            <w:r>
              <w:rPr>
                <w:rFonts w:hint="default" w:ascii="宋体" w:hAnsi="宋体" w:eastAsia="宋体" w:cs="Arial"/>
                <w:spacing w:val="-6"/>
                <w:sz w:val="21"/>
                <w:szCs w:val="21"/>
                <w:highlight w:val="none"/>
                <w:lang w:val="en-US" w:eastAsia="zh-CN"/>
              </w:rPr>
              <w:t>人身伤害</w:t>
            </w:r>
            <w:r>
              <w:rPr>
                <w:rFonts w:hint="eastAsia" w:ascii="宋体" w:hAnsi="宋体" w:cs="Arial"/>
                <w:spacing w:val="-6"/>
                <w:sz w:val="21"/>
                <w:szCs w:val="21"/>
                <w:highlight w:val="none"/>
                <w:lang w:val="en-US" w:eastAsia="zh-CN"/>
              </w:rPr>
              <w:t>、触电</w:t>
            </w:r>
            <w:r>
              <w:rPr>
                <w:rFonts w:hint="default" w:ascii="宋体" w:hAnsi="宋体" w:eastAsia="宋体" w:cs="Arial"/>
                <w:spacing w:val="-6"/>
                <w:sz w:val="21"/>
                <w:szCs w:val="21"/>
                <w:highlight w:val="none"/>
                <w:lang w:val="en-US" w:eastAsia="zh-CN"/>
              </w:rPr>
              <w:t>、火灾伤害</w:t>
            </w:r>
            <w:r>
              <w:rPr>
                <w:rFonts w:hint="eastAsia" w:ascii="宋体" w:hAnsi="宋体" w:cs="Arial"/>
                <w:spacing w:val="-6"/>
                <w:sz w:val="21"/>
                <w:szCs w:val="21"/>
                <w:highlight w:val="none"/>
                <w:lang w:val="en-US" w:eastAsia="zh-CN"/>
              </w:rPr>
              <w:t>；</w:t>
            </w:r>
          </w:p>
          <w:p>
            <w:pPr>
              <w:adjustRightInd w:val="0"/>
              <w:snapToGrid w:val="0"/>
              <w:spacing w:line="360" w:lineRule="auto"/>
              <w:ind w:right="120" w:rightChars="50" w:firstLine="396" w:firstLineChars="200"/>
              <w:textAlignment w:val="baseline"/>
              <w:rPr>
                <w:rFonts w:hint="default" w:ascii="宋体" w:hAnsi="宋体" w:eastAsia="宋体" w:cs="Arial"/>
                <w:spacing w:val="-6"/>
                <w:sz w:val="21"/>
                <w:szCs w:val="21"/>
                <w:lang w:val="en-US" w:eastAsia="zh-CN"/>
              </w:rPr>
            </w:pPr>
            <w:r>
              <w:rPr>
                <w:rFonts w:hint="eastAsia" w:ascii="宋体" w:hAnsi="宋体" w:cs="Arial"/>
                <w:spacing w:val="-6"/>
                <w:sz w:val="21"/>
                <w:szCs w:val="21"/>
                <w:lang w:val="en-US" w:eastAsia="zh-CN"/>
              </w:rPr>
              <w:t>策划了控制措施，制定有管理方案，</w:t>
            </w:r>
            <w:r>
              <w:rPr>
                <w:rFonts w:hint="default" w:ascii="宋体" w:hAnsi="宋体" w:eastAsia="宋体" w:cs="Arial"/>
                <w:spacing w:val="-6"/>
                <w:sz w:val="21"/>
                <w:szCs w:val="21"/>
                <w:lang w:val="en-US" w:eastAsia="zh-CN"/>
              </w:rPr>
              <w:t>一旦发生按相关应急预案执行。</w:t>
            </w:r>
          </w:p>
          <w:p>
            <w:pPr>
              <w:adjustRightInd w:val="0"/>
              <w:snapToGrid w:val="0"/>
              <w:spacing w:line="360" w:lineRule="auto"/>
              <w:ind w:right="120" w:rightChars="50" w:firstLine="396" w:firstLineChars="200"/>
              <w:textAlignment w:val="baseline"/>
              <w:rPr>
                <w:rFonts w:hint="eastAsia" w:ascii="宋体" w:hAnsi="宋体"/>
                <w:b/>
                <w:sz w:val="21"/>
                <w:szCs w:val="21"/>
              </w:rPr>
            </w:pPr>
            <w:r>
              <w:rPr>
                <w:rFonts w:hint="eastAsia" w:ascii="宋体" w:hAnsi="宋体" w:eastAsia="宋体" w:cs="Arial"/>
                <w:spacing w:val="-6"/>
                <w:sz w:val="21"/>
                <w:szCs w:val="21"/>
                <w:lang w:val="en-US" w:eastAsia="zh-CN"/>
              </w:rPr>
              <w:t>为应对相应的风险和机遇，公司依据GB/T19001-2016、GB/T24001-2016、GB/T45001-2020标准的要求并结合本公司的具体情况，采取PDCA的过程方法，建立、实施、保持并持续改进质量、环境、职业健康安全管理体系。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60" w:lineRule="auto"/>
              <w:ind w:left="31680" w:hanging="211" w:hangingChars="100"/>
              <w:rPr>
                <w:rFonts w:hint="default" w:ascii="宋体" w:eastAsia="宋体"/>
                <w:b/>
                <w:sz w:val="21"/>
                <w:szCs w:val="21"/>
                <w:lang w:val="en-US" w:eastAsia="zh-CN"/>
              </w:rPr>
            </w:pPr>
            <w:r>
              <w:rPr>
                <w:rFonts w:hint="eastAsia" w:ascii="宋体" w:hAnsi="宋体"/>
                <w:b/>
                <w:sz w:val="21"/>
                <w:szCs w:val="21"/>
              </w:rPr>
              <w:t>质量管理体系过程有：</w:t>
            </w:r>
            <w:r>
              <w:rPr>
                <w:rFonts w:hint="eastAsia" w:ascii="宋体" w:hAnsi="宋体"/>
                <w:b/>
                <w:sz w:val="21"/>
                <w:szCs w:val="21"/>
                <w:lang w:val="en-US" w:eastAsia="zh-CN"/>
              </w:rPr>
              <w:t>剪切、下料、折弯、焊接、打磨、喷塑、组装</w:t>
            </w:r>
          </w:p>
          <w:p>
            <w:pPr>
              <w:tabs>
                <w:tab w:val="left" w:pos="540"/>
              </w:tabs>
              <w:spacing w:line="360" w:lineRule="auto"/>
              <w:ind w:left="31680" w:hanging="211" w:hangingChars="100"/>
              <w:rPr>
                <w:rFonts w:hint="default" w:ascii="宋体" w:eastAsia="宋体"/>
                <w:b/>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b/>
                <w:sz w:val="21"/>
                <w:szCs w:val="21"/>
                <w:lang w:val="en-US" w:eastAsia="zh-CN"/>
              </w:rPr>
              <w:t>焊接、喷塑</w:t>
            </w:r>
          </w:p>
          <w:p>
            <w:pPr>
              <w:tabs>
                <w:tab w:val="left" w:pos="540"/>
              </w:tabs>
              <w:spacing w:line="360" w:lineRule="auto"/>
              <w:ind w:left="31680" w:hanging="211" w:hangingChars="100"/>
              <w:rPr>
                <w:rFonts w:hint="default" w:asci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b/>
                <w:sz w:val="21"/>
                <w:szCs w:val="21"/>
                <w:lang w:val="en-US" w:eastAsia="zh-CN"/>
              </w:rPr>
              <w:t>焊接、喷塑</w:t>
            </w:r>
          </w:p>
          <w:p>
            <w:pPr>
              <w:tabs>
                <w:tab w:val="left" w:pos="540"/>
              </w:tabs>
              <w:spacing w:line="360" w:lineRule="auto"/>
              <w:ind w:left="211" w:hanging="211" w:hangingChars="100"/>
              <w:rPr>
                <w:rFonts w:ascii="宋体" w:hAnsi="宋体"/>
                <w:b/>
                <w:sz w:val="21"/>
                <w:szCs w:val="21"/>
              </w:rPr>
            </w:pPr>
            <w:r>
              <w:rPr>
                <w:rFonts w:hint="eastAsia" w:ascii="宋体" w:hAnsi="宋体" w:eastAsia="宋体" w:cs="宋体"/>
                <w:b/>
                <w:bCs/>
                <w:color w:val="auto"/>
                <w:sz w:val="21"/>
                <w:szCs w:val="21"/>
                <w:lang w:val="en-US" w:eastAsia="zh-CN"/>
              </w:rPr>
              <w:t>删减条款</w:t>
            </w:r>
            <w:r>
              <w:rPr>
                <w:rFonts w:hint="eastAsia" w:ascii="宋体" w:hAnsi="宋体" w:cs="宋体"/>
                <w:b/>
                <w:bCs/>
                <w:color w:val="auto"/>
                <w:sz w:val="21"/>
                <w:szCs w:val="21"/>
                <w:lang w:val="en-US" w:eastAsia="zh-CN"/>
              </w:rPr>
              <w:t xml:space="preserve">  8.3。</w:t>
            </w:r>
            <w:r>
              <w:rPr>
                <w:rFonts w:hint="eastAsia" w:ascii="宋体" w:hAnsi="宋体" w:cs="宋体"/>
                <w:b/>
                <w:bCs/>
                <w:color w:val="auto"/>
                <w:sz w:val="21"/>
                <w:szCs w:val="21"/>
                <w:u w:val="single"/>
                <w:lang w:val="en-US" w:eastAsia="zh-CN"/>
              </w:rPr>
              <w:t>按照企业标准和客户的要求生产，无需设计与开发，且不影响法律法规及企业生产和销售。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环境因素</w:t>
            </w:r>
          </w:p>
          <w:p>
            <w:pPr>
              <w:spacing w:line="360" w:lineRule="auto"/>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cs="Arial"/>
                <w:spacing w:val="-6"/>
                <w:sz w:val="21"/>
                <w:szCs w:val="21"/>
                <w:lang w:val="en-US" w:eastAsia="zh-CN"/>
              </w:rPr>
              <w:t>编制有《环境因素和危险源识别评价与控制程序》</w:t>
            </w:r>
            <w:r>
              <w:rPr>
                <w:rFonts w:hint="eastAsia" w:ascii="宋体" w:hAnsi="宋体" w:cs="Arial"/>
                <w:spacing w:val="-6"/>
                <w:sz w:val="21"/>
                <w:szCs w:val="21"/>
                <w:lang w:val="en-US" w:eastAsia="zh-CN"/>
              </w:rPr>
              <w:t>；</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cs="Arial"/>
                <w:spacing w:val="-6"/>
                <w:sz w:val="21"/>
                <w:szCs w:val="21"/>
                <w:lang w:val="en-US" w:eastAsia="zh-CN"/>
              </w:rPr>
              <w:t>重大环境因素：</w:t>
            </w:r>
            <w:r>
              <w:rPr>
                <w:rFonts w:hint="eastAsia" w:ascii="宋体" w:hAnsi="宋体" w:eastAsia="宋体" w:cs="Arial"/>
                <w:color w:val="auto"/>
                <w:spacing w:val="-6"/>
                <w:sz w:val="21"/>
                <w:szCs w:val="21"/>
                <w:lang w:val="en-US" w:eastAsia="zh-CN"/>
              </w:rPr>
              <w:t>噪声排放</w:t>
            </w:r>
            <w:r>
              <w:rPr>
                <w:rFonts w:hint="eastAsia" w:ascii="宋体" w:hAnsi="宋体" w:cs="Arial"/>
                <w:color w:val="auto"/>
                <w:spacing w:val="-6"/>
                <w:sz w:val="21"/>
                <w:szCs w:val="21"/>
                <w:lang w:val="en-US" w:eastAsia="zh-CN"/>
              </w:rPr>
              <w:t>、</w:t>
            </w:r>
            <w:r>
              <w:rPr>
                <w:rFonts w:hint="eastAsia" w:ascii="宋体" w:hAnsi="宋体" w:eastAsia="宋体" w:cs="Arial"/>
                <w:color w:val="auto"/>
                <w:spacing w:val="-6"/>
                <w:sz w:val="21"/>
                <w:szCs w:val="21"/>
                <w:lang w:val="en-US" w:eastAsia="zh-CN"/>
              </w:rPr>
              <w:t>烟尘排放、潜在火灾</w:t>
            </w:r>
            <w:r>
              <w:rPr>
                <w:rFonts w:hint="eastAsia" w:ascii="宋体" w:hAnsi="宋体" w:cs="Arial"/>
                <w:color w:val="auto"/>
                <w:spacing w:val="-6"/>
                <w:sz w:val="21"/>
                <w:szCs w:val="21"/>
                <w:lang w:val="en-US" w:eastAsia="zh-CN"/>
              </w:rPr>
              <w:t>、</w:t>
            </w:r>
            <w:r>
              <w:rPr>
                <w:rFonts w:hint="eastAsia" w:ascii="宋体" w:hAnsi="宋体" w:eastAsia="宋体" w:cs="Arial"/>
                <w:color w:val="auto"/>
                <w:spacing w:val="-6"/>
                <w:sz w:val="21"/>
                <w:szCs w:val="21"/>
                <w:lang w:val="en-US" w:eastAsia="zh-CN"/>
              </w:rPr>
              <w:t>固废排放</w:t>
            </w:r>
            <w:r>
              <w:rPr>
                <w:rFonts w:hint="eastAsia" w:ascii="宋体" w:hAnsi="宋体" w:cs="Arial"/>
                <w:color w:val="auto"/>
                <w:spacing w:val="-6"/>
                <w:sz w:val="21"/>
                <w:szCs w:val="21"/>
                <w:lang w:val="en-US" w:eastAsia="zh-CN"/>
              </w:rPr>
              <w:t>、</w:t>
            </w:r>
            <w:r>
              <w:rPr>
                <w:rFonts w:hint="eastAsia" w:ascii="宋体" w:hAnsi="宋体" w:eastAsia="宋体" w:cs="Arial"/>
                <w:color w:val="auto"/>
                <w:spacing w:val="-6"/>
                <w:sz w:val="21"/>
                <w:szCs w:val="21"/>
                <w:lang w:val="en-US" w:eastAsia="zh-CN"/>
              </w:rPr>
              <w:t>粉尘排放</w:t>
            </w:r>
            <w:r>
              <w:rPr>
                <w:rFonts w:hint="eastAsia" w:ascii="宋体" w:hAnsi="宋体" w:cs="Arial"/>
                <w:color w:val="auto"/>
                <w:spacing w:val="-6"/>
                <w:sz w:val="21"/>
                <w:szCs w:val="21"/>
                <w:lang w:val="en-US" w:eastAsia="zh-CN"/>
              </w:rPr>
              <w:t>、</w:t>
            </w:r>
            <w:r>
              <w:rPr>
                <w:rFonts w:hint="eastAsia" w:ascii="宋体" w:hAnsi="宋体" w:eastAsia="宋体" w:cs="Arial"/>
                <w:color w:val="auto"/>
                <w:spacing w:val="-6"/>
                <w:sz w:val="21"/>
                <w:szCs w:val="21"/>
                <w:lang w:val="en-US" w:eastAsia="zh-CN"/>
              </w:rPr>
              <w:t>废气</w:t>
            </w:r>
            <w:r>
              <w:rPr>
                <w:rFonts w:hint="eastAsia" w:ascii="宋体" w:hAnsi="宋体" w:cs="Arial"/>
                <w:spacing w:val="-6"/>
                <w:sz w:val="21"/>
                <w:szCs w:val="21"/>
                <w:lang w:val="en-US" w:eastAsia="zh-CN"/>
              </w:rPr>
              <w:t>；</w:t>
            </w:r>
          </w:p>
          <w:p>
            <w:pPr>
              <w:adjustRightInd w:val="0"/>
              <w:snapToGrid w:val="0"/>
              <w:spacing w:line="360" w:lineRule="auto"/>
              <w:ind w:right="120" w:rightChars="50" w:firstLine="396" w:firstLineChars="200"/>
              <w:textAlignment w:val="baseline"/>
              <w:rPr>
                <w:rFonts w:hint="default" w:ascii="宋体" w:hAnsi="宋体" w:eastAsia="宋体" w:cs="Arial"/>
                <w:spacing w:val="-6"/>
                <w:sz w:val="21"/>
                <w:szCs w:val="21"/>
                <w:lang w:val="en-US" w:eastAsia="zh-CN"/>
              </w:rPr>
            </w:pPr>
            <w:r>
              <w:rPr>
                <w:rFonts w:hint="eastAsia" w:ascii="宋体" w:hAnsi="宋体" w:cs="Arial"/>
                <w:spacing w:val="-6"/>
                <w:sz w:val="21"/>
                <w:szCs w:val="21"/>
                <w:lang w:val="en-US" w:eastAsia="zh-CN"/>
              </w:rPr>
              <w:t>策划了控制措施，制定有管理方案，</w:t>
            </w:r>
            <w:r>
              <w:rPr>
                <w:rFonts w:hint="default" w:ascii="宋体" w:hAnsi="宋体" w:eastAsia="宋体" w:cs="Arial"/>
                <w:spacing w:val="-6"/>
                <w:sz w:val="21"/>
                <w:szCs w:val="21"/>
                <w:lang w:val="en-US" w:eastAsia="zh-CN"/>
              </w:rPr>
              <w:t>一旦发生按相关应急预案执行。</w:t>
            </w:r>
          </w:p>
          <w:p>
            <w:pPr>
              <w:adjustRightInd w:val="0"/>
              <w:snapToGrid w:val="0"/>
              <w:spacing w:line="360" w:lineRule="auto"/>
              <w:ind w:right="120" w:rightChars="50" w:firstLine="396" w:firstLineChars="200"/>
              <w:textAlignment w:val="baseline"/>
              <w:rPr>
                <w:rFonts w:hint="default"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辨识比较充分，评价基本合理，能根据实际情况进行动态调整。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360" w:lineRule="auto"/>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cs="Arial"/>
                <w:spacing w:val="-6"/>
                <w:sz w:val="21"/>
                <w:szCs w:val="21"/>
                <w:lang w:val="en-US" w:eastAsia="zh-CN"/>
              </w:rPr>
              <w:t>编制有《环境因素和危险源识别评价与控制程序》</w:t>
            </w:r>
            <w:r>
              <w:rPr>
                <w:rFonts w:hint="eastAsia" w:ascii="宋体" w:hAnsi="宋体" w:cs="Arial"/>
                <w:spacing w:val="-6"/>
                <w:sz w:val="21"/>
                <w:szCs w:val="21"/>
                <w:lang w:val="en-US" w:eastAsia="zh-CN"/>
              </w:rPr>
              <w:t>；</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eastAsia="宋体" w:cs="Arial"/>
                <w:spacing w:val="-6"/>
                <w:sz w:val="21"/>
                <w:szCs w:val="21"/>
                <w:highlight w:val="none"/>
                <w:lang w:val="en-US" w:eastAsia="zh-CN"/>
              </w:rPr>
              <w:t>不可接受风险：机械伤害</w:t>
            </w:r>
            <w:r>
              <w:rPr>
                <w:rFonts w:hint="eastAsia" w:ascii="宋体" w:hAnsi="宋体" w:cs="Arial"/>
                <w:spacing w:val="-6"/>
                <w:sz w:val="21"/>
                <w:szCs w:val="21"/>
                <w:highlight w:val="none"/>
                <w:lang w:val="en-US" w:eastAsia="zh-CN"/>
              </w:rPr>
              <w:t>、</w:t>
            </w:r>
            <w:r>
              <w:rPr>
                <w:rFonts w:hint="default" w:ascii="宋体" w:hAnsi="宋体" w:eastAsia="宋体" w:cs="Arial"/>
                <w:spacing w:val="-6"/>
                <w:sz w:val="21"/>
                <w:szCs w:val="21"/>
                <w:highlight w:val="none"/>
                <w:lang w:val="en-US" w:eastAsia="zh-CN"/>
              </w:rPr>
              <w:t>吸入性伤害</w:t>
            </w:r>
            <w:r>
              <w:rPr>
                <w:rFonts w:hint="eastAsia" w:ascii="宋体" w:hAnsi="宋体" w:cs="Arial"/>
                <w:spacing w:val="-6"/>
                <w:sz w:val="21"/>
                <w:szCs w:val="21"/>
                <w:highlight w:val="none"/>
                <w:lang w:val="en-US" w:eastAsia="zh-CN"/>
              </w:rPr>
              <w:t>、</w:t>
            </w:r>
            <w:r>
              <w:rPr>
                <w:rFonts w:hint="default" w:ascii="宋体" w:hAnsi="宋体" w:eastAsia="宋体" w:cs="Arial"/>
                <w:spacing w:val="-6"/>
                <w:sz w:val="21"/>
                <w:szCs w:val="21"/>
                <w:highlight w:val="none"/>
                <w:lang w:val="en-US" w:eastAsia="zh-CN"/>
              </w:rPr>
              <w:t>人身伤害</w:t>
            </w:r>
            <w:r>
              <w:rPr>
                <w:rFonts w:hint="eastAsia" w:ascii="宋体" w:hAnsi="宋体" w:cs="Arial"/>
                <w:spacing w:val="-6"/>
                <w:sz w:val="21"/>
                <w:szCs w:val="21"/>
                <w:highlight w:val="none"/>
                <w:lang w:val="en-US" w:eastAsia="zh-CN"/>
              </w:rPr>
              <w:t>、触电</w:t>
            </w:r>
            <w:r>
              <w:rPr>
                <w:rFonts w:hint="default" w:ascii="宋体" w:hAnsi="宋体" w:eastAsia="宋体" w:cs="Arial"/>
                <w:spacing w:val="-6"/>
                <w:sz w:val="21"/>
                <w:szCs w:val="21"/>
                <w:highlight w:val="none"/>
                <w:lang w:val="en-US" w:eastAsia="zh-CN"/>
              </w:rPr>
              <w:t>、火灾伤害</w:t>
            </w:r>
            <w:r>
              <w:rPr>
                <w:rFonts w:hint="eastAsia" w:ascii="宋体" w:hAnsi="宋体" w:cs="Arial"/>
                <w:spacing w:val="-6"/>
                <w:sz w:val="21"/>
                <w:szCs w:val="21"/>
                <w:highlight w:val="none"/>
                <w:lang w:val="en-US" w:eastAsia="zh-CN"/>
              </w:rPr>
              <w:t>；</w:t>
            </w:r>
          </w:p>
          <w:p>
            <w:pPr>
              <w:adjustRightInd w:val="0"/>
              <w:snapToGrid w:val="0"/>
              <w:spacing w:line="360" w:lineRule="auto"/>
              <w:ind w:right="120" w:rightChars="50" w:firstLine="396" w:firstLineChars="200"/>
              <w:textAlignment w:val="baseline"/>
              <w:rPr>
                <w:rFonts w:hint="default" w:ascii="宋体" w:hAnsi="宋体" w:eastAsia="宋体" w:cs="Arial"/>
                <w:spacing w:val="-6"/>
                <w:sz w:val="21"/>
                <w:szCs w:val="21"/>
                <w:lang w:val="en-US" w:eastAsia="zh-CN"/>
              </w:rPr>
            </w:pPr>
            <w:r>
              <w:rPr>
                <w:rFonts w:hint="eastAsia" w:ascii="宋体" w:hAnsi="宋体" w:cs="Arial"/>
                <w:spacing w:val="-6"/>
                <w:sz w:val="21"/>
                <w:szCs w:val="21"/>
                <w:lang w:val="en-US" w:eastAsia="zh-CN"/>
              </w:rPr>
              <w:t>策划了控制措施，制定有管理方案，</w:t>
            </w:r>
            <w:r>
              <w:rPr>
                <w:rFonts w:hint="default" w:ascii="宋体" w:hAnsi="宋体" w:eastAsia="宋体" w:cs="Arial"/>
                <w:spacing w:val="-6"/>
                <w:sz w:val="21"/>
                <w:szCs w:val="21"/>
                <w:lang w:val="en-US" w:eastAsia="zh-CN"/>
              </w:rPr>
              <w:t>一旦发生按相关应急预案执行。</w:t>
            </w:r>
          </w:p>
          <w:p>
            <w:pPr>
              <w:adjustRightInd w:val="0"/>
              <w:snapToGrid w:val="0"/>
              <w:spacing w:line="360" w:lineRule="auto"/>
              <w:ind w:right="120" w:rightChars="50" w:firstLine="396" w:firstLineChars="200"/>
              <w:textAlignment w:val="baseline"/>
              <w:rPr>
                <w:rFonts w:hint="eastAsia" w:ascii="宋体" w:hAnsi="宋体"/>
                <w:b/>
                <w:sz w:val="21"/>
                <w:szCs w:val="21"/>
              </w:rPr>
            </w:pPr>
            <w:r>
              <w:rPr>
                <w:rFonts w:hint="eastAsia" w:ascii="宋体" w:hAnsi="宋体" w:eastAsia="宋体" w:cs="Arial"/>
                <w:spacing w:val="-6"/>
                <w:sz w:val="21"/>
                <w:szCs w:val="21"/>
                <w:lang w:val="en-US" w:eastAsia="zh-CN"/>
              </w:rPr>
              <w:t>辨识比较充分，评价基本合理，能根据实际情况进行动态调整。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60" w:lineRule="auto"/>
              <w:ind w:left="211" w:hanging="211" w:hangingChars="100"/>
              <w:rPr>
                <w:rFonts w:ascii="宋体" w:hAnsi="宋体"/>
                <w:b/>
                <w:sz w:val="21"/>
                <w:szCs w:val="21"/>
              </w:rPr>
            </w:pPr>
          </w:p>
          <w:p>
            <w:pPr>
              <w:pStyle w:val="16"/>
              <w:numPr>
                <w:ilvl w:val="0"/>
                <w:numId w:val="1"/>
              </w:numPr>
              <w:tabs>
                <w:tab w:val="left" w:pos="540"/>
              </w:tabs>
              <w:spacing w:line="360" w:lineRule="auto"/>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6"/>
              <w:numPr>
                <w:ilvl w:val="0"/>
                <w:numId w:val="1"/>
              </w:numPr>
              <w:tabs>
                <w:tab w:val="left" w:pos="540"/>
              </w:tabs>
              <w:spacing w:line="360" w:lineRule="auto"/>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rPr>
              <w:sym w:font="Wingdings 2" w:char="0052"/>
            </w:r>
            <w:r>
              <w:rPr>
                <w:rFonts w:hint="eastAsia" w:ascii="宋体" w:hAnsi="宋体"/>
                <w:b/>
                <w:szCs w:val="21"/>
              </w:rPr>
              <w:t>环境因素</w:t>
            </w:r>
            <w:r>
              <w:rPr>
                <w:rFonts w:hint="eastAsia" w:ascii="宋体" w:hAnsi="宋体"/>
                <w:b/>
                <w:szCs w:val="21"/>
              </w:rPr>
              <w:sym w:font="Wingdings 2" w:char="0052"/>
            </w:r>
            <w:r>
              <w:rPr>
                <w:rFonts w:hint="eastAsia" w:ascii="宋体" w:hAnsi="宋体"/>
                <w:b/>
                <w:szCs w:val="21"/>
              </w:rPr>
              <w:t>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6"/>
              <w:numPr>
                <w:ilvl w:val="0"/>
                <w:numId w:val="1"/>
              </w:numPr>
              <w:tabs>
                <w:tab w:val="left" w:pos="540"/>
              </w:tabs>
              <w:spacing w:line="360" w:lineRule="auto"/>
              <w:ind w:firstLineChars="0"/>
              <w:rPr>
                <w:rFonts w:ascii="宋体" w:hAnsi="宋体"/>
                <w:b/>
                <w:szCs w:val="21"/>
              </w:rPr>
            </w:pPr>
            <w:r>
              <w:rPr>
                <w:rFonts w:hint="eastAsia" w:ascii="宋体" w:hAnsi="宋体"/>
                <w:b/>
                <w:szCs w:val="21"/>
              </w:rPr>
              <w:t>法律法规的宣传方式：</w:t>
            </w:r>
          </w:p>
          <w:p>
            <w:pPr>
              <w:pStyle w:val="16"/>
              <w:numPr>
                <w:ilvl w:val="0"/>
                <w:numId w:val="1"/>
              </w:numPr>
              <w:tabs>
                <w:tab w:val="left" w:pos="540"/>
              </w:tabs>
              <w:spacing w:line="360" w:lineRule="auto"/>
              <w:ind w:firstLineChars="0"/>
              <w:rPr>
                <w:rFonts w:ascii="宋体" w:hAnsi="宋体"/>
                <w:b/>
                <w:sz w:val="21"/>
                <w:szCs w:val="21"/>
              </w:rPr>
            </w:pPr>
            <w:r>
              <w:rPr>
                <w:rFonts w:hint="eastAsia" w:ascii="宋体" w:hAnsi="宋体"/>
                <w:b/>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60" w:lineRule="auto"/>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adjustRightInd w:val="0"/>
              <w:snapToGrid w:val="0"/>
              <w:spacing w:line="360" w:lineRule="auto"/>
              <w:ind w:right="120" w:rightChars="50" w:firstLine="396" w:firstLineChars="200"/>
              <w:textAlignment w:val="baseline"/>
              <w:rPr>
                <w:rFonts w:hint="default"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以方针为框架，建立了公司管理目标：</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质量目标：</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产品出厂合格率100%；</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顾客满意度≥95分 ；</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环保安全目标：</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固体废弃物分类处置率100%；</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火灾事故发生率为0；</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职业病发生率为0；</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员工重大伤亡率为0；</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对重要</w:t>
            </w:r>
            <w:r>
              <w:rPr>
                <w:rFonts w:hint="eastAsia" w:ascii="宋体" w:hAnsi="宋体" w:cs="Arial"/>
                <w:spacing w:val="-6"/>
                <w:sz w:val="21"/>
                <w:szCs w:val="21"/>
                <w:lang w:val="en-US" w:eastAsia="zh-CN"/>
              </w:rPr>
              <w:t>环境因素和不可接受风险</w:t>
            </w:r>
            <w:r>
              <w:rPr>
                <w:rFonts w:hint="eastAsia" w:ascii="宋体" w:hAnsi="宋体" w:eastAsia="宋体" w:cs="Arial"/>
                <w:color w:val="auto"/>
                <w:spacing w:val="-6"/>
                <w:sz w:val="21"/>
                <w:szCs w:val="21"/>
                <w:lang w:val="en-US" w:eastAsia="zh-CN"/>
              </w:rPr>
              <w:t>建立了管理方案，明确了控制措施、责任部门、责任人；</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eastAsia="宋体" w:cs="Arial"/>
                <w:color w:val="auto"/>
                <w:spacing w:val="-6"/>
                <w:sz w:val="21"/>
                <w:szCs w:val="21"/>
                <w:lang w:val="en-US" w:eastAsia="zh-CN"/>
              </w:rPr>
              <w:t>2020.12，考核均已全部完成。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策划了公司的管理体系文件，包括：</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《管理手册》A/0版，管理体系于2019年10月10日建立并正式实施。</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另程序文件26个，版本号：A/0，2019年10月10日实施；</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作业指导书、操作规程：下料(剪板)作业指导书、冲压作业指导书、折弯作业指导书、、点焊机作业指导书、二保焊作业指导书、喷涂作业指导书、剪板机操作规程、冲床操作规程、折弯机操作规程等；</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建立有外来文件清单，收集法律法规和技术标准、规范等7个；</w:t>
            </w:r>
          </w:p>
          <w:p>
            <w:pPr>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建立环境、职业健康安全法律法规和其他要求清单，共105个。</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cs="Arial"/>
                <w:color w:val="auto"/>
                <w:spacing w:val="-6"/>
                <w:sz w:val="21"/>
                <w:szCs w:val="21"/>
                <w:lang w:val="en-US" w:eastAsia="zh-CN"/>
              </w:rPr>
              <w:t>以上文件无变化。</w:t>
            </w:r>
            <w:r>
              <w:rPr>
                <w:rFonts w:hint="eastAsia" w:ascii="宋体" w:hAnsi="宋体" w:eastAsia="宋体" w:cs="Arial"/>
                <w:color w:val="auto"/>
                <w:spacing w:val="-6"/>
                <w:sz w:val="21"/>
                <w:szCs w:val="21"/>
                <w:lang w:val="en-US" w:eastAsia="zh-CN"/>
              </w:rPr>
              <w:t>文件化管理体系目前基本满足要求。</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——在编制体系文件时，对文件进行标识，主要有文件名称/编制部门/批准日期/文件编号等，经查管理手册/程序文件基本符合标准要求。</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管理体系文件经过总经理审批实施发布，经评审，目前文件和目录均适用。符合要求。</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eastAsia="宋体" w:cs="Arial"/>
                <w:color w:val="auto"/>
                <w:spacing w:val="-6"/>
                <w:sz w:val="21"/>
                <w:szCs w:val="21"/>
                <w:lang w:val="en-US" w:eastAsia="zh-CN"/>
              </w:rPr>
              <w:t>——编制《文件化信息管理控制程序》，内容符合基本标准要求。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720" w:type="dxa"/>
            <w:vMerge w:val="restart"/>
            <w:textDirection w:val="tbRlV"/>
            <w:vAlign w:val="center"/>
          </w:tcPr>
          <w:p>
            <w:pPr>
              <w:spacing w:line="360" w:lineRule="auto"/>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60" w:lineRule="auto"/>
              <w:ind w:firstLine="396" w:firstLineChars="200"/>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公司现有人员45人，管理人员、技术人员和操作员工等，能力能够胜任本职工作。</w:t>
            </w:r>
          </w:p>
          <w:p>
            <w:pPr>
              <w:spacing w:line="360" w:lineRule="auto"/>
              <w:ind w:firstLine="396" w:firstLineChars="200"/>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胡</w:t>
            </w:r>
            <w:r>
              <w:rPr>
                <w:rFonts w:hint="eastAsia" w:ascii="宋体" w:hAnsi="宋体" w:cs="Arial"/>
                <w:color w:val="auto"/>
                <w:spacing w:val="-6"/>
                <w:sz w:val="21"/>
                <w:szCs w:val="21"/>
                <w:lang w:val="en-US" w:eastAsia="zh-CN"/>
              </w:rPr>
              <w:t>庆春</w:t>
            </w:r>
            <w:r>
              <w:rPr>
                <w:rFonts w:hint="eastAsia" w:ascii="宋体" w:hAnsi="宋体" w:eastAsia="宋体" w:cs="Arial"/>
                <w:color w:val="auto"/>
                <w:spacing w:val="-6"/>
                <w:sz w:val="21"/>
                <w:szCs w:val="21"/>
                <w:lang w:val="en-US" w:eastAsia="zh-CN"/>
              </w:rPr>
              <w:t>总经理——企业主要负责人安全培训合格证书</w:t>
            </w:r>
          </w:p>
          <w:p>
            <w:pPr>
              <w:spacing w:line="360" w:lineRule="auto"/>
              <w:ind w:firstLine="396" w:firstLineChars="200"/>
              <w:rPr>
                <w:rFonts w:hint="default" w:ascii="宋体" w:hAnsi="宋体" w:eastAsia="宋体"/>
                <w:b/>
                <w:sz w:val="21"/>
                <w:szCs w:val="21"/>
                <w:lang w:val="en-US" w:eastAsia="zh-CN"/>
              </w:rPr>
            </w:pPr>
            <w:r>
              <w:rPr>
                <w:rFonts w:hint="eastAsia" w:ascii="宋体" w:hAnsi="宋体" w:eastAsia="宋体" w:cs="Arial"/>
                <w:color w:val="auto"/>
                <w:spacing w:val="-6"/>
                <w:sz w:val="21"/>
                <w:szCs w:val="21"/>
                <w:lang w:val="en-US" w:eastAsia="zh-CN"/>
              </w:rPr>
              <w:t>特种作业人员持上岗，证书有效。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设备设施（包括信息系统）、</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cs="Arial"/>
                <w:spacing w:val="-6"/>
                <w:sz w:val="21"/>
                <w:szCs w:val="21"/>
                <w:highlight w:val="none"/>
                <w:lang w:val="en-US" w:eastAsia="zh-CN"/>
              </w:rPr>
              <w:t>拥有</w:t>
            </w:r>
            <w:r>
              <w:rPr>
                <w:rFonts w:hint="eastAsia" w:ascii="宋体" w:hAnsi="宋体" w:cs="Arial"/>
                <w:spacing w:val="-6"/>
                <w:sz w:val="21"/>
                <w:szCs w:val="21"/>
                <w:highlight w:val="none"/>
              </w:rPr>
              <w:t>剪板机、数控等离子、数控冲压机、空压机、冲床、折弯机、电焊（氩弧焊机）、CO2气体保护焊机、台式钻床</w:t>
            </w:r>
            <w:r>
              <w:rPr>
                <w:rFonts w:hint="eastAsia" w:ascii="宋体" w:hAnsi="宋体" w:cs="Arial"/>
                <w:spacing w:val="-6"/>
                <w:sz w:val="21"/>
                <w:szCs w:val="21"/>
                <w:highlight w:val="none"/>
                <w:lang w:eastAsia="zh-CN"/>
              </w:rPr>
              <w:t>、</w:t>
            </w:r>
            <w:r>
              <w:rPr>
                <w:rFonts w:hint="eastAsia" w:ascii="宋体" w:hAnsi="宋体" w:cs="Arial"/>
                <w:spacing w:val="-6"/>
                <w:sz w:val="21"/>
                <w:szCs w:val="21"/>
                <w:highlight w:val="none"/>
                <w:lang w:val="en-US" w:eastAsia="zh-CN"/>
              </w:rPr>
              <w:t>起重机、储气罐、污水处理装置、</w:t>
            </w:r>
            <w:r>
              <w:rPr>
                <w:rFonts w:hint="eastAsia" w:ascii="宋体" w:hAnsi="宋体" w:eastAsia="宋体" w:cs="Arial"/>
                <w:spacing w:val="-6"/>
                <w:sz w:val="21"/>
                <w:szCs w:val="21"/>
                <w:highlight w:val="none"/>
                <w:lang w:val="en-US" w:eastAsia="zh-CN"/>
              </w:rPr>
              <w:t>除尘装置等设备，一般设备正常保</w:t>
            </w:r>
            <w:r>
              <w:rPr>
                <w:rFonts w:hint="eastAsia" w:ascii="宋体" w:hAnsi="宋体" w:cs="Arial"/>
                <w:spacing w:val="-6"/>
                <w:sz w:val="21"/>
                <w:szCs w:val="21"/>
                <w:lang w:val="en-US" w:eastAsia="zh-CN"/>
              </w:rPr>
              <w:t>养，特种设备按期进行检定校准；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过程运行环境</w:t>
            </w:r>
          </w:p>
          <w:p>
            <w:pPr>
              <w:pStyle w:val="7"/>
              <w:spacing w:line="360" w:lineRule="auto"/>
              <w:ind w:firstLine="31680"/>
              <w:rPr>
                <w:rFonts w:hint="eastAsia" w:ascii="宋体" w:hAnsi="宋体" w:eastAsia="宋体" w:cs="Arial"/>
                <w:color w:val="auto"/>
                <w:spacing w:val="-6"/>
                <w:kern w:val="2"/>
                <w:sz w:val="21"/>
                <w:szCs w:val="21"/>
                <w:highlight w:val="none"/>
                <w:lang w:val="en-US" w:eastAsia="zh-CN" w:bidi="ar-SA"/>
              </w:rPr>
            </w:pPr>
            <w:r>
              <w:rPr>
                <w:rFonts w:hint="eastAsia" w:ascii="宋体" w:hAnsi="宋体" w:eastAsia="宋体" w:cs="Arial"/>
                <w:color w:val="auto"/>
                <w:spacing w:val="-6"/>
                <w:kern w:val="2"/>
                <w:sz w:val="21"/>
                <w:szCs w:val="21"/>
                <w:highlight w:val="none"/>
                <w:lang w:val="en-US" w:eastAsia="zh-CN" w:bidi="ar-SA"/>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pPr>
              <w:pStyle w:val="7"/>
              <w:spacing w:line="360" w:lineRule="auto"/>
              <w:ind w:firstLine="31680"/>
              <w:rPr>
                <w:rFonts w:hint="eastAsia" w:ascii="宋体" w:hAnsi="宋体" w:eastAsia="宋体" w:cs="Arial"/>
                <w:color w:val="auto"/>
                <w:spacing w:val="-6"/>
                <w:kern w:val="2"/>
                <w:sz w:val="21"/>
                <w:szCs w:val="21"/>
                <w:highlight w:val="none"/>
                <w:lang w:val="en-US" w:eastAsia="zh-CN" w:bidi="ar-SA"/>
              </w:rPr>
            </w:pPr>
            <w:r>
              <w:rPr>
                <w:rFonts w:hint="eastAsia" w:ascii="宋体" w:hAnsi="宋体" w:eastAsia="宋体" w:cs="Arial"/>
                <w:color w:val="auto"/>
                <w:spacing w:val="-6"/>
                <w:kern w:val="2"/>
                <w:sz w:val="21"/>
                <w:szCs w:val="21"/>
                <w:highlight w:val="none"/>
                <w:lang w:val="en-US" w:eastAsia="zh-CN" w:bidi="ar-SA"/>
              </w:rPr>
              <w:t>经与主管人员交谈，其对本部门在本条款管理中的职责、分工和接口关系清楚掌握，基本符合文件要求。</w:t>
            </w:r>
          </w:p>
          <w:p>
            <w:pPr>
              <w:pStyle w:val="7"/>
              <w:spacing w:line="360" w:lineRule="auto"/>
              <w:ind w:firstLine="31680"/>
              <w:rPr>
                <w:rFonts w:hint="eastAsia" w:ascii="宋体" w:hAnsi="宋体" w:eastAsia="宋体" w:cs="Arial"/>
                <w:color w:val="auto"/>
                <w:spacing w:val="-6"/>
                <w:kern w:val="2"/>
                <w:sz w:val="21"/>
                <w:szCs w:val="21"/>
                <w:highlight w:val="none"/>
                <w:lang w:val="en-US" w:eastAsia="zh-CN" w:bidi="ar-SA"/>
              </w:rPr>
            </w:pPr>
            <w:r>
              <w:rPr>
                <w:rFonts w:hint="eastAsia" w:ascii="宋体" w:hAnsi="宋体" w:eastAsia="宋体" w:cs="Arial"/>
                <w:color w:val="auto"/>
                <w:spacing w:val="-6"/>
                <w:kern w:val="2"/>
                <w:sz w:val="21"/>
                <w:szCs w:val="21"/>
                <w:highlight w:val="none"/>
                <w:lang w:val="en-US" w:eastAsia="zh-CN" w:bidi="ar-SA"/>
              </w:rPr>
              <w:t>公司定期举行旅游活动、体检，带薪休假等，已缓解员工的心理压力、过度疲劳等。</w:t>
            </w:r>
          </w:p>
          <w:p>
            <w:pPr>
              <w:spacing w:line="360" w:lineRule="auto"/>
              <w:rPr>
                <w:rFonts w:ascii="宋体" w:hAnsi="宋体"/>
                <w:b/>
                <w:sz w:val="21"/>
                <w:szCs w:val="21"/>
              </w:rPr>
            </w:pPr>
            <w:r>
              <w:rPr>
                <w:rFonts w:hint="eastAsia" w:ascii="宋体" w:hAnsi="宋体" w:eastAsia="宋体" w:cs="Arial"/>
                <w:color w:val="auto"/>
                <w:spacing w:val="-6"/>
                <w:kern w:val="2"/>
                <w:sz w:val="21"/>
                <w:szCs w:val="21"/>
                <w:highlight w:val="none"/>
                <w:lang w:val="en-US" w:eastAsia="zh-CN" w:bidi="ar-SA"/>
              </w:rPr>
              <w:t>公司现场观察，公司办公场所和生产场所均环境良好，满足办公需要，无特殊环境要求。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hint="eastAsia" w:ascii="宋体" w:hAnsi="宋体" w:eastAsia="宋体" w:cs="Times New Roman"/>
                <w:b/>
                <w:sz w:val="21"/>
                <w:szCs w:val="21"/>
              </w:rPr>
            </w:pPr>
            <w:r>
              <w:rPr>
                <w:rFonts w:hint="eastAsia" w:ascii="宋体" w:hAnsi="宋体" w:eastAsia="宋体" w:cs="Times New Roman"/>
                <w:b/>
                <w:sz w:val="21"/>
                <w:szCs w:val="21"/>
              </w:rPr>
              <w:t>监视和测量资源</w:t>
            </w:r>
          </w:p>
          <w:p>
            <w:pPr>
              <w:pStyle w:val="2"/>
              <w:spacing w:line="360" w:lineRule="auto"/>
            </w:pPr>
            <w:r>
              <w:rPr>
                <w:rFonts w:hint="eastAsia" w:ascii="宋体" w:hAnsi="宋体" w:cs="Arial"/>
                <w:spacing w:val="-6"/>
                <w:sz w:val="21"/>
                <w:szCs w:val="21"/>
                <w:lang w:val="en-US" w:eastAsia="zh-CN"/>
              </w:rPr>
              <w:t>电子吊秤、涂层厚度仪、游标卡尺等计量设备，按期进行检定校准；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知识</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公司各部门按照职责从内外部各种渠道获得与其职责相关所需的知识，包括操作规程、管理技巧与经验、失败和事故的案例分析、科研成果、商标及专利等知识产权等；把知识形成各种规章制度用于指导公司的日常工作和管理，包括体系文件、支持性文件、各种记录表单。</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从内部来源获取的有：多年的工作经验、教训、内部的知识产权等；</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外部来源获取有：标杆对比、行业会议、客户技术要求、咨询老师传授的体系知识及所实施的内审员的培训；顾客方提供的资料等。</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在应对变化的需求和趋势时，相关部门考虑现有的知识，确定如何获取更多的必要的额外知识，并根据变化的情况及时更新。</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eastAsia="宋体" w:cs="Arial"/>
                <w:color w:val="auto"/>
                <w:spacing w:val="-6"/>
                <w:sz w:val="21"/>
                <w:szCs w:val="21"/>
                <w:highlight w:val="none"/>
                <w:lang w:val="en-US" w:eastAsia="zh-CN"/>
              </w:rPr>
              <w:t>保持发明专利、外观专利、实用新型专利等各项专利36项。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hint="eastAsia" w:ascii="宋体" w:hAnsi="宋体" w:eastAsia="宋体" w:cs="Times New Roman"/>
                <w:b/>
                <w:sz w:val="21"/>
                <w:szCs w:val="21"/>
              </w:rPr>
            </w:pPr>
            <w:r>
              <w:rPr>
                <w:rFonts w:hint="eastAsia" w:ascii="宋体" w:hAnsi="宋体" w:eastAsia="宋体" w:cs="Times New Roman"/>
                <w:b/>
                <w:sz w:val="21"/>
                <w:szCs w:val="21"/>
              </w:rPr>
              <w:t>环保设施：</w:t>
            </w:r>
          </w:p>
          <w:p>
            <w:pPr>
              <w:pStyle w:val="2"/>
              <w:spacing w:line="360" w:lineRule="auto"/>
              <w:rPr>
                <w:rFonts w:hint="default" w:eastAsia="宋体"/>
                <w:lang w:val="en-US" w:eastAsia="zh-CN"/>
              </w:rPr>
            </w:pPr>
            <w:r>
              <w:rPr>
                <w:rFonts w:hint="eastAsia" w:ascii="宋体" w:hAnsi="宋体" w:eastAsia="宋体" w:cs="Arial"/>
                <w:color w:val="auto"/>
                <w:spacing w:val="-6"/>
                <w:kern w:val="2"/>
                <w:sz w:val="21"/>
                <w:szCs w:val="21"/>
                <w:lang w:val="en-US" w:eastAsia="zh-CN" w:bidi="ar-SA"/>
              </w:rPr>
              <w:t>消防器材、污水处理装置、除尘装置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hint="eastAsia" w:ascii="宋体" w:hAnsi="宋体" w:eastAsia="宋体" w:cs="Times New Roman"/>
                <w:b/>
                <w:sz w:val="21"/>
                <w:szCs w:val="21"/>
              </w:rPr>
            </w:pPr>
            <w:r>
              <w:rPr>
                <w:rFonts w:hint="eastAsia" w:ascii="宋体" w:hAnsi="宋体" w:eastAsia="宋体" w:cs="Times New Roman"/>
                <w:b/>
                <w:sz w:val="21"/>
                <w:szCs w:val="21"/>
              </w:rPr>
              <w:t>职业健康安全设施：</w:t>
            </w:r>
          </w:p>
          <w:p>
            <w:pPr>
              <w:pStyle w:val="2"/>
              <w:spacing w:line="360" w:lineRule="auto"/>
              <w:rPr>
                <w:rFonts w:hint="default" w:eastAsia="宋体"/>
                <w:lang w:val="en-US" w:eastAsia="zh-CN"/>
              </w:rPr>
            </w:pPr>
            <w:r>
              <w:rPr>
                <w:rFonts w:hint="eastAsia" w:ascii="宋体" w:hAnsi="宋体" w:eastAsia="宋体" w:cs="Arial"/>
                <w:color w:val="auto"/>
                <w:spacing w:val="-6"/>
                <w:kern w:val="2"/>
                <w:sz w:val="21"/>
                <w:szCs w:val="21"/>
                <w:lang w:val="en-US" w:eastAsia="zh-CN" w:bidi="ar-SA"/>
              </w:rPr>
              <w:t>消防器材、标识牌、个体防护用品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720" w:type="dxa"/>
            <w:vMerge w:val="restart"/>
            <w:textDirection w:val="tbRlV"/>
            <w:vAlign w:val="center"/>
          </w:tcPr>
          <w:p>
            <w:pPr>
              <w:spacing w:line="360" w:lineRule="auto"/>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60" w:lineRule="auto"/>
              <w:rPr>
                <w:rFonts w:hint="eastAsia" w:ascii="宋体" w:hAnsi="宋体" w:eastAsia="宋体" w:cs="Times New Roman"/>
                <w:b/>
                <w:sz w:val="21"/>
                <w:szCs w:val="21"/>
              </w:rPr>
            </w:pPr>
            <w:r>
              <w:rPr>
                <w:rFonts w:hint="eastAsia" w:ascii="宋体" w:hAnsi="宋体" w:eastAsia="宋体" w:cs="Times New Roman"/>
                <w:b/>
                <w:sz w:val="21"/>
                <w:szCs w:val="21"/>
              </w:rPr>
              <w:t>1. 针对方针的管理职责评审</w:t>
            </w:r>
          </w:p>
          <w:p>
            <w:pPr>
              <w:spacing w:line="360" w:lineRule="auto"/>
              <w:rPr>
                <w:rFonts w:hint="eastAsia" w:ascii="宋体" w:hAnsi="宋体" w:eastAsia="宋体" w:cs="Times New Roman"/>
                <w:b/>
                <w:sz w:val="21"/>
                <w:szCs w:val="21"/>
              </w:rPr>
            </w:pPr>
            <w:r>
              <w:rPr>
                <w:rFonts w:hint="eastAsia" w:ascii="宋体" w:hAnsi="宋体" w:eastAsia="宋体" w:cs="Times New Roman"/>
                <w:b/>
                <w:sz w:val="21"/>
                <w:szCs w:val="21"/>
              </w:rPr>
              <w:t>（包括针对组织宗旨，制定相关管理方针政策、确保方针为员工理解并在运营中实施，监视方针的实施并评审方针的适宜性）</w:t>
            </w:r>
          </w:p>
          <w:p>
            <w:pPr>
              <w:pStyle w:val="2"/>
              <w:spacing w:line="360" w:lineRule="auto"/>
            </w:pPr>
            <w:r>
              <w:rPr>
                <w:rFonts w:hint="eastAsia" w:ascii="宋体" w:hAnsi="宋体" w:eastAsia="宋体" w:cs="Arial"/>
                <w:color w:val="auto"/>
                <w:spacing w:val="-6"/>
                <w:kern w:val="2"/>
                <w:sz w:val="21"/>
                <w:szCs w:val="21"/>
                <w:lang w:val="en-US" w:eastAsia="zh-CN" w:bidi="ar-SA"/>
              </w:rPr>
              <w:t>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360" w:lineRule="auto"/>
              <w:rPr>
                <w:rFonts w:ascii="宋体" w:hAnsi="宋体"/>
                <w:b/>
                <w:sz w:val="21"/>
                <w:szCs w:val="21"/>
              </w:rPr>
            </w:pPr>
          </w:p>
          <w:p>
            <w:pPr>
              <w:spacing w:line="360" w:lineRule="auto"/>
              <w:rPr>
                <w:rFonts w:hint="eastAsia"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内部沟通的情况：内部沟通方式：借助于会议、电话、口头交流等方式使全体员工达到沟通和理解</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内部沟通的效果：有效。</w:t>
            </w:r>
          </w:p>
          <w:p>
            <w:pPr>
              <w:spacing w:line="360" w:lineRule="auto"/>
              <w:rPr>
                <w:rFonts w:ascii="楷体_GB2312" w:eastAsia="楷体_GB2312"/>
                <w:b/>
                <w:color w:val="000000" w:themeColor="text1"/>
                <w:sz w:val="20"/>
                <w:szCs w:val="20"/>
              </w:rPr>
            </w:pP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组织对外联络，关注顾客的感受情况（QMS）：顾客满意度评价、合同等</w:t>
            </w:r>
          </w:p>
          <w:p>
            <w:pPr>
              <w:spacing w:line="360" w:lineRule="auto"/>
              <w:rPr>
                <w:rFonts w:ascii="楷体_GB2312" w:eastAsia="楷体_GB2312"/>
                <w:b/>
                <w:color w:val="000000" w:themeColor="text1"/>
                <w:sz w:val="20"/>
                <w:szCs w:val="20"/>
              </w:rPr>
            </w:pPr>
          </w:p>
          <w:p>
            <w:pPr>
              <w:spacing w:line="360" w:lineRule="auto"/>
              <w:rPr>
                <w:rFonts w:hint="eastAsia"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行政部按建立的信息交流、协商和沟通控制程序及公司合规义务的要求，就三标一体化管理体系的相关信息进行外部信息交流，与进入工作场所的承包方和其他访问者进行沟通；接收、记录和回应来自外部相关方的相关沟通。</w:t>
            </w:r>
          </w:p>
          <w:p>
            <w:pPr>
              <w:spacing w:line="360" w:lineRule="auto"/>
              <w:rPr>
                <w:rFonts w:ascii="楷体_GB2312" w:eastAsia="楷体_GB2312"/>
                <w:b/>
                <w:color w:val="000000" w:themeColor="text1"/>
                <w:sz w:val="20"/>
                <w:szCs w:val="20"/>
              </w:rPr>
            </w:pPr>
          </w:p>
          <w:p>
            <w:pPr>
              <w:spacing w:line="360" w:lineRule="auto"/>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重要环境因素信息对外交流情况（EMS填写）：</w:t>
            </w:r>
            <w:r>
              <w:rPr>
                <w:rFonts w:hint="eastAsia" w:ascii="楷体_GB2312" w:eastAsia="楷体_GB2312"/>
                <w:b/>
                <w:color w:val="000000" w:themeColor="text1"/>
                <w:sz w:val="20"/>
                <w:szCs w:val="20"/>
                <w:lang w:val="en-US" w:eastAsia="zh-CN"/>
              </w:rPr>
              <w:t>文件传递</w:t>
            </w:r>
          </w:p>
          <w:p>
            <w:pPr>
              <w:spacing w:line="360" w:lineRule="auto"/>
              <w:rPr>
                <w:rFonts w:ascii="楷体_GB2312" w:eastAsia="楷体_GB2312"/>
                <w:b/>
                <w:color w:val="000000" w:themeColor="text1"/>
                <w:sz w:val="20"/>
                <w:szCs w:val="20"/>
              </w:rPr>
            </w:pP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OHSMS事务代表协商和交流的情况（OHSMS填写）：确定职业健康安全事务代表是钟佛玲，参与公司的职业健康安全事务。相关人员能够适当参与并协商办理公司经营管理及安全事务等工作。</w:t>
            </w:r>
          </w:p>
          <w:p>
            <w:pPr>
              <w:spacing w:line="360" w:lineRule="auto"/>
              <w:rPr>
                <w:rFonts w:ascii="楷体_GB2312" w:eastAsia="楷体_GB2312"/>
                <w:b/>
                <w:color w:val="000000" w:themeColor="text1"/>
                <w:szCs w:val="21"/>
              </w:rPr>
            </w:pPr>
          </w:p>
          <w:p>
            <w:pPr>
              <w:spacing w:line="360" w:lineRule="auto"/>
              <w:rPr>
                <w:rFonts w:hint="eastAsia" w:ascii="宋体" w:hAnsi="宋体" w:eastAsia="楷体_GB2312"/>
                <w:b/>
                <w:sz w:val="21"/>
                <w:szCs w:val="21"/>
                <w:lang w:eastAsia="zh-CN"/>
              </w:rPr>
            </w:pPr>
            <w:r>
              <w:rPr>
                <w:rFonts w:hint="eastAsia" w:ascii="楷体_GB2312" w:eastAsia="楷体_GB2312"/>
                <w:b/>
                <w:color w:val="000000" w:themeColor="text1"/>
                <w:szCs w:val="21"/>
              </w:rPr>
              <w:t>与相关方协商的情况（OHSMS填写）：与相关方就有关职业健康安全事务进行协商</w:t>
            </w:r>
            <w:r>
              <w:rPr>
                <w:rFonts w:hint="eastAsia" w:ascii="楷体_GB2312" w:eastAsia="楷体_GB2312"/>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360" w:lineRule="auto"/>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360" w:lineRule="auto"/>
              <w:ind w:firstLine="396" w:firstLineChars="200"/>
              <w:rPr>
                <w:rFonts w:hint="eastAsia" w:ascii="宋体" w:hAnsi="宋体" w:eastAsia="宋体" w:cs="Arial"/>
                <w:color w:val="auto"/>
                <w:spacing w:val="-6"/>
                <w:kern w:val="2"/>
                <w:sz w:val="21"/>
                <w:szCs w:val="21"/>
                <w:lang w:val="en-US" w:eastAsia="zh-CN" w:bidi="ar-SA"/>
              </w:rPr>
            </w:pPr>
            <w:r>
              <w:rPr>
                <w:rFonts w:hint="eastAsia" w:ascii="宋体" w:hAnsi="宋体" w:eastAsia="宋体" w:cs="Arial"/>
                <w:color w:val="auto"/>
                <w:spacing w:val="-6"/>
                <w:kern w:val="2"/>
                <w:sz w:val="21"/>
                <w:szCs w:val="21"/>
                <w:lang w:val="en-US" w:eastAsia="zh-CN" w:bidi="ar-SA"/>
              </w:rPr>
              <w:t>公司依据客户订单，下达生产计划，接到定单后召开生产会议，进行生产、质量及管理工作协调。</w:t>
            </w:r>
          </w:p>
          <w:p>
            <w:pPr>
              <w:spacing w:line="360" w:lineRule="auto"/>
              <w:ind w:firstLine="396" w:firstLineChars="200"/>
              <w:rPr>
                <w:rFonts w:hint="eastAsia" w:ascii="宋体" w:hAnsi="宋体" w:eastAsia="宋体" w:cs="Arial"/>
                <w:color w:val="auto"/>
                <w:spacing w:val="-6"/>
                <w:kern w:val="2"/>
                <w:sz w:val="21"/>
                <w:szCs w:val="21"/>
                <w:lang w:val="en-US" w:eastAsia="zh-CN" w:bidi="ar-SA"/>
              </w:rPr>
            </w:pPr>
            <w:r>
              <w:rPr>
                <w:rFonts w:hint="eastAsia" w:ascii="宋体" w:hAnsi="宋体" w:eastAsia="宋体" w:cs="Arial"/>
                <w:color w:val="auto"/>
                <w:spacing w:val="-6"/>
                <w:kern w:val="2"/>
                <w:sz w:val="21"/>
                <w:szCs w:val="21"/>
                <w:lang w:val="en-US" w:eastAsia="zh-CN" w:bidi="ar-SA"/>
              </w:rPr>
              <w:t>通过原材料检验、过程检验、成品检验等过程对产品质量、生产进度等进行监控。</w:t>
            </w:r>
          </w:p>
          <w:p>
            <w:pPr>
              <w:spacing w:line="360" w:lineRule="auto"/>
              <w:ind w:firstLine="396" w:firstLineChars="200"/>
              <w:rPr>
                <w:rFonts w:hint="eastAsia" w:ascii="宋体" w:hAnsi="宋体" w:eastAsia="宋体" w:cs="Arial"/>
                <w:color w:val="auto"/>
                <w:spacing w:val="-6"/>
                <w:kern w:val="2"/>
                <w:sz w:val="21"/>
                <w:szCs w:val="21"/>
                <w:lang w:val="en-US" w:eastAsia="zh-CN" w:bidi="ar-SA"/>
              </w:rPr>
            </w:pPr>
            <w:r>
              <w:rPr>
                <w:rFonts w:hint="eastAsia" w:ascii="宋体" w:hAnsi="宋体" w:eastAsia="宋体" w:cs="Arial"/>
                <w:color w:val="auto"/>
                <w:spacing w:val="-6"/>
                <w:kern w:val="2"/>
                <w:sz w:val="21"/>
                <w:szCs w:val="21"/>
                <w:lang w:val="en-US" w:eastAsia="zh-CN" w:bidi="ar-SA"/>
              </w:rPr>
              <w:t>为生产过程提供了适宜的设备及环境，配备了胜任的人员。</w:t>
            </w:r>
          </w:p>
          <w:p>
            <w:pPr>
              <w:spacing w:line="360" w:lineRule="auto"/>
              <w:ind w:firstLine="396" w:firstLineChars="200"/>
              <w:rPr>
                <w:rFonts w:ascii="宋体" w:hAnsi="宋体"/>
                <w:b/>
                <w:sz w:val="21"/>
                <w:szCs w:val="21"/>
              </w:rPr>
            </w:pPr>
            <w:r>
              <w:rPr>
                <w:rFonts w:hint="eastAsia" w:ascii="宋体" w:hAnsi="宋体" w:eastAsia="宋体" w:cs="Arial"/>
                <w:color w:val="auto"/>
                <w:spacing w:val="-6"/>
                <w:kern w:val="2"/>
                <w:sz w:val="21"/>
                <w:szCs w:val="21"/>
                <w:lang w:val="en-US" w:eastAsia="zh-CN" w:bidi="ar-SA"/>
              </w:rPr>
              <w:t>公司按照制定的产品检验规程、作业指导书、原料进货检验规程等文件对产品的生产和检验过程实施了过程控制。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jc w:val="left"/>
              <w:rPr>
                <w:rFonts w:ascii="宋体" w:hAnsi="宋体"/>
                <w:b/>
                <w:sz w:val="21"/>
                <w:szCs w:val="21"/>
                <w:highlight w:val="none"/>
              </w:rPr>
            </w:pPr>
            <w:r>
              <w:rPr>
                <w:rFonts w:ascii="宋体" w:hAnsi="宋体"/>
                <w:b/>
                <w:sz w:val="21"/>
                <w:szCs w:val="21"/>
                <w:highlight w:val="none"/>
              </w:rPr>
              <w:t>4.QMS</w:t>
            </w:r>
            <w:r>
              <w:rPr>
                <w:rFonts w:hint="eastAsia" w:ascii="宋体" w:hAnsi="宋体"/>
                <w:b/>
                <w:sz w:val="21"/>
                <w:szCs w:val="21"/>
                <w:highlight w:val="none"/>
              </w:rPr>
              <w:t>/</w:t>
            </w:r>
            <w:r>
              <w:rPr>
                <w:rFonts w:hint="eastAsia" w:ascii="宋体" w:hAnsi="宋体"/>
                <w:b/>
                <w:szCs w:val="21"/>
                <w:highlight w:val="none"/>
              </w:rPr>
              <w:t>□50430</w:t>
            </w:r>
            <w:r>
              <w:rPr>
                <w:rFonts w:hint="eastAsia" w:ascii="宋体" w:hAnsi="宋体"/>
                <w:b/>
                <w:sz w:val="21"/>
                <w:szCs w:val="21"/>
                <w:highlight w:val="none"/>
              </w:rPr>
              <w:t>产品</w:t>
            </w:r>
            <w:r>
              <w:rPr>
                <w:rFonts w:ascii="宋体" w:hAnsi="宋体"/>
                <w:b/>
                <w:sz w:val="21"/>
                <w:szCs w:val="21"/>
                <w:highlight w:val="none"/>
              </w:rPr>
              <w:t>/</w:t>
            </w:r>
            <w:r>
              <w:rPr>
                <w:rFonts w:hint="eastAsia" w:ascii="宋体" w:hAnsi="宋体"/>
                <w:b/>
                <w:sz w:val="21"/>
                <w:szCs w:val="21"/>
                <w:highlight w:val="none"/>
              </w:rPr>
              <w:t>服务的标准、协议</w:t>
            </w:r>
            <w:r>
              <w:rPr>
                <w:rFonts w:ascii="宋体" w:hAnsi="宋体"/>
                <w:b/>
                <w:sz w:val="21"/>
                <w:szCs w:val="21"/>
                <w:highlight w:val="none"/>
              </w:rPr>
              <w:t>/</w:t>
            </w:r>
            <w:r>
              <w:rPr>
                <w:rFonts w:hint="eastAsia" w:ascii="宋体" w:hAnsi="宋体"/>
                <w:b/>
                <w:sz w:val="21"/>
                <w:szCs w:val="21"/>
                <w:highlight w:val="none"/>
              </w:rPr>
              <w:t>规范的有效性以及产品</w:t>
            </w:r>
            <w:r>
              <w:rPr>
                <w:rFonts w:ascii="宋体" w:hAnsi="宋体"/>
                <w:b/>
                <w:sz w:val="21"/>
                <w:szCs w:val="21"/>
                <w:highlight w:val="none"/>
              </w:rPr>
              <w:t>/</w:t>
            </w:r>
            <w:r>
              <w:rPr>
                <w:rFonts w:hint="eastAsia" w:ascii="宋体" w:hAnsi="宋体"/>
                <w:b/>
                <w:sz w:val="21"/>
                <w:szCs w:val="21"/>
                <w:highlight w:val="none"/>
              </w:rPr>
              <w:t>服务质量符合要求，向顾客稳定提供合格产品的情况；</w:t>
            </w:r>
          </w:p>
          <w:p>
            <w:pPr>
              <w:spacing w:line="360" w:lineRule="auto"/>
              <w:ind w:firstLine="396" w:firstLineChars="200"/>
              <w:rPr>
                <w:rFonts w:hint="eastAsia" w:ascii="宋体" w:hAnsi="宋体" w:cs="Arial"/>
                <w:color w:val="auto"/>
                <w:spacing w:val="-6"/>
                <w:kern w:val="2"/>
                <w:sz w:val="21"/>
                <w:szCs w:val="21"/>
                <w:lang w:val="en-US" w:eastAsia="zh-CN" w:bidi="ar-SA"/>
              </w:rPr>
            </w:pPr>
            <w:r>
              <w:rPr>
                <w:rFonts w:hint="eastAsia" w:ascii="宋体" w:hAnsi="宋体" w:eastAsia="宋体" w:cs="Arial"/>
                <w:color w:val="auto"/>
                <w:spacing w:val="-6"/>
                <w:kern w:val="2"/>
                <w:sz w:val="21"/>
                <w:szCs w:val="21"/>
                <w:lang w:val="en-US" w:eastAsia="zh-CN" w:bidi="ar-SA"/>
              </w:rPr>
              <w:t>公司生产、检验相关标准：参考国家/行业标准：金属家具通用技术条件GB/T3325-2017，制订了企业标准：Q/XST004-2014《公共自行车停车棚》、Q/XST003-2014《公共自行车服务智能设备管理柜》等</w:t>
            </w:r>
            <w:r>
              <w:rPr>
                <w:rFonts w:hint="eastAsia" w:ascii="宋体" w:hAnsi="宋体" w:cs="Arial"/>
                <w:color w:val="auto"/>
                <w:spacing w:val="-6"/>
                <w:kern w:val="2"/>
                <w:sz w:val="21"/>
                <w:szCs w:val="21"/>
                <w:lang w:val="en-US" w:eastAsia="zh-CN" w:bidi="ar-SA"/>
              </w:rPr>
              <w:t>；</w:t>
            </w:r>
          </w:p>
          <w:p>
            <w:pPr>
              <w:spacing w:line="360" w:lineRule="auto"/>
              <w:ind w:firstLine="396" w:firstLineChars="200"/>
              <w:rPr>
                <w:rFonts w:hint="eastAsia" w:ascii="宋体" w:hAnsi="宋体" w:eastAsia="宋体" w:cs="Arial"/>
                <w:color w:val="auto"/>
                <w:spacing w:val="-6"/>
                <w:kern w:val="2"/>
                <w:sz w:val="21"/>
                <w:szCs w:val="21"/>
                <w:lang w:val="en-US" w:eastAsia="zh-CN" w:bidi="ar-SA"/>
              </w:rPr>
            </w:pPr>
            <w:r>
              <w:rPr>
                <w:rFonts w:hint="eastAsia" w:ascii="宋体" w:hAnsi="宋体" w:eastAsia="宋体" w:cs="Arial"/>
                <w:color w:val="auto"/>
                <w:spacing w:val="-6"/>
                <w:kern w:val="2"/>
                <w:sz w:val="21"/>
                <w:szCs w:val="21"/>
                <w:lang w:val="en-US" w:eastAsia="zh-CN" w:bidi="ar-SA"/>
              </w:rPr>
              <w:t>公司编制了《生产工序作业指导书》、《过程检验规程》等指导产品生产和确定产品的接收；明确了质量目标和相关的产品特性要求：产品出厂合格率100%；客户满意度大于95分，根据客户技术要求进行生产和服务的提供。</w:t>
            </w:r>
          </w:p>
          <w:p>
            <w:pPr>
              <w:spacing w:line="360" w:lineRule="auto"/>
              <w:ind w:firstLine="396" w:firstLineChars="200"/>
              <w:rPr>
                <w:rFonts w:ascii="宋体" w:hAnsi="宋体"/>
                <w:b/>
                <w:sz w:val="21"/>
                <w:szCs w:val="21"/>
              </w:rPr>
            </w:pPr>
            <w:r>
              <w:rPr>
                <w:rFonts w:hint="eastAsia" w:ascii="宋体" w:hAnsi="宋体" w:eastAsia="宋体" w:cs="Arial"/>
                <w:color w:val="auto"/>
                <w:spacing w:val="-6"/>
                <w:kern w:val="2"/>
                <w:sz w:val="21"/>
                <w:szCs w:val="21"/>
                <w:lang w:val="en-US" w:eastAsia="zh-CN" w:bidi="ar-SA"/>
              </w:rPr>
              <w:t>产品原材料和成品经过检验，质量满足顾客要求。</w:t>
            </w:r>
          </w:p>
          <w:p>
            <w:pPr>
              <w:spacing w:line="360" w:lineRule="auto"/>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60" w:lineRule="auto"/>
              <w:ind w:firstLine="396" w:firstLineChars="200"/>
              <w:rPr>
                <w:rFonts w:hint="eastAsia" w:ascii="宋体" w:hAnsi="宋体" w:eastAsia="宋体" w:cs="Arial"/>
                <w:color w:val="auto"/>
                <w:spacing w:val="-6"/>
                <w:kern w:val="2"/>
                <w:sz w:val="21"/>
                <w:szCs w:val="21"/>
                <w:lang w:val="en-US" w:eastAsia="zh-CN" w:bidi="ar-SA"/>
              </w:rPr>
            </w:pPr>
            <w:r>
              <w:rPr>
                <w:rFonts w:hint="eastAsia" w:ascii="宋体" w:hAnsi="宋体" w:eastAsia="宋体" w:cs="Arial"/>
                <w:color w:val="auto"/>
                <w:spacing w:val="-6"/>
                <w:kern w:val="2"/>
                <w:sz w:val="21"/>
                <w:szCs w:val="21"/>
                <w:lang w:val="en-US" w:eastAsia="zh-CN" w:bidi="ar-SA"/>
              </w:rPr>
              <w:t>未发生。</w:t>
            </w:r>
          </w:p>
          <w:p>
            <w:pPr>
              <w:spacing w:line="360" w:lineRule="auto"/>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360" w:lineRule="auto"/>
              <w:ind w:firstLine="396" w:firstLineChars="200"/>
              <w:rPr>
                <w:rFonts w:ascii="宋体" w:hAnsi="宋体"/>
                <w:b/>
                <w:sz w:val="21"/>
                <w:szCs w:val="21"/>
              </w:rPr>
            </w:pPr>
            <w:r>
              <w:rPr>
                <w:rFonts w:hint="eastAsia" w:ascii="宋体" w:hAnsi="宋体" w:eastAsia="宋体" w:cs="Arial"/>
                <w:color w:val="auto"/>
                <w:spacing w:val="-6"/>
                <w:kern w:val="2"/>
                <w:sz w:val="21"/>
                <w:szCs w:val="21"/>
                <w:lang w:val="en-US" w:eastAsia="zh-CN" w:bidi="ar-SA"/>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highlight w:val="none"/>
              </w:rPr>
            </w:pPr>
            <w:r>
              <w:rPr>
                <w:rFonts w:ascii="宋体" w:hAnsi="宋体"/>
                <w:b/>
                <w:sz w:val="21"/>
                <w:szCs w:val="21"/>
                <w:highlight w:val="none"/>
              </w:rPr>
              <w:t>7. EMS</w:t>
            </w:r>
            <w:r>
              <w:rPr>
                <w:rFonts w:hint="eastAsia" w:ascii="宋体" w:hAnsi="宋体"/>
                <w:b/>
                <w:sz w:val="21"/>
                <w:szCs w:val="21"/>
                <w:highlight w:val="none"/>
              </w:rPr>
              <w:t>组织对重要环境因素实施控制的结果</w:t>
            </w:r>
          </w:p>
          <w:p>
            <w:pPr>
              <w:spacing w:line="360" w:lineRule="auto"/>
              <w:rPr>
                <w:rFonts w:ascii="宋体" w:hAnsi="宋体"/>
                <w:b/>
                <w:sz w:val="21"/>
                <w:szCs w:val="21"/>
                <w:highlight w:val="none"/>
              </w:rPr>
            </w:pPr>
            <w:r>
              <w:rPr>
                <w:rFonts w:hint="eastAsia" w:ascii="宋体" w:hAnsi="宋体"/>
                <w:b/>
                <w:sz w:val="21"/>
                <w:szCs w:val="21"/>
                <w:highlight w:val="none"/>
              </w:rPr>
              <w:t>（</w:t>
            </w:r>
            <w:r>
              <w:rPr>
                <w:rFonts w:ascii="宋体" w:hAnsi="宋体"/>
                <w:b/>
                <w:sz w:val="21"/>
                <w:szCs w:val="21"/>
                <w:highlight w:val="none"/>
              </w:rPr>
              <w:t>EMS</w:t>
            </w:r>
            <w:r>
              <w:rPr>
                <w:rFonts w:hint="eastAsia" w:ascii="宋体" w:hAnsi="宋体"/>
                <w:b/>
                <w:sz w:val="21"/>
                <w:szCs w:val="21"/>
                <w:highlight w:val="none"/>
              </w:rPr>
              <w:t>对重要环境因素控制，重大环境因素对周边环境产生的影响及控制</w:t>
            </w:r>
            <w:r>
              <w:rPr>
                <w:rFonts w:ascii="宋体" w:hAnsi="宋体"/>
                <w:b/>
                <w:sz w:val="21"/>
                <w:szCs w:val="21"/>
                <w:highlight w:val="none"/>
              </w:rPr>
              <w:t>;</w:t>
            </w:r>
            <w:r>
              <w:rPr>
                <w:rFonts w:hint="eastAsia" w:ascii="宋体" w:hAnsi="宋体"/>
                <w:b/>
                <w:sz w:val="21"/>
                <w:szCs w:val="21"/>
                <w:highlight w:val="none"/>
              </w:rPr>
              <w:t>对相关方施加影响）</w:t>
            </w:r>
          </w:p>
          <w:p>
            <w:pPr>
              <w:spacing w:line="360" w:lineRule="auto"/>
              <w:ind w:firstLine="396" w:firstLineChars="200"/>
              <w:rPr>
                <w:rFonts w:ascii="宋体" w:hAnsi="宋体"/>
                <w:b/>
                <w:sz w:val="21"/>
                <w:szCs w:val="21"/>
                <w:highlight w:val="none"/>
              </w:rPr>
            </w:pPr>
            <w:r>
              <w:rPr>
                <w:rFonts w:hint="eastAsia" w:ascii="宋体" w:hAnsi="宋体" w:eastAsia="宋体" w:cs="Arial"/>
                <w:color w:val="auto"/>
                <w:spacing w:val="-6"/>
                <w:kern w:val="2"/>
                <w:sz w:val="21"/>
                <w:szCs w:val="21"/>
                <w:highlight w:val="none"/>
                <w:lang w:val="en-US" w:eastAsia="zh-CN" w:bidi="ar-SA"/>
              </w:rPr>
              <w:t>公司重要环境因素噪声排放、烟尘排放、潜在火灾、固废排放、粉尘排放、废气控制有效，未对周边环境和相关方产生任何影响。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hint="eastAsia" w:ascii="宋体" w:hAnsi="宋体" w:eastAsia="宋体" w:cs="Times New Roman"/>
                <w:b/>
                <w:sz w:val="21"/>
                <w:szCs w:val="21"/>
                <w:highlight w:val="none"/>
              </w:rPr>
            </w:pPr>
            <w:r>
              <w:rPr>
                <w:rFonts w:hint="eastAsia" w:ascii="宋体" w:hAnsi="宋体" w:eastAsia="宋体" w:cs="Times New Roman"/>
                <w:b/>
                <w:sz w:val="21"/>
                <w:szCs w:val="21"/>
                <w:highlight w:val="none"/>
              </w:rPr>
              <w:t>8. OHSMS组织对不可接受风险实施控制的结果</w:t>
            </w:r>
          </w:p>
          <w:p>
            <w:pPr>
              <w:pStyle w:val="2"/>
              <w:rPr>
                <w:highlight w:val="none"/>
              </w:rPr>
            </w:pPr>
            <w:r>
              <w:rPr>
                <w:rFonts w:hint="eastAsia" w:ascii="宋体" w:hAnsi="宋体" w:eastAsia="宋体" w:cs="Arial"/>
                <w:color w:val="auto"/>
                <w:spacing w:val="-6"/>
                <w:kern w:val="2"/>
                <w:sz w:val="21"/>
                <w:szCs w:val="21"/>
                <w:highlight w:val="none"/>
                <w:lang w:val="en-US" w:eastAsia="zh-CN" w:bidi="ar-SA"/>
              </w:rPr>
              <w:t>火灾，触电、粉尘伤害、噪声伤害、机械伤害等不可接受风险控制有效，从未发生任何事故。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ind w:left="211" w:hanging="211" w:hangingChars="100"/>
              <w:rPr>
                <w:rFonts w:ascii="宋体" w:hAnsi="宋体"/>
                <w:b/>
                <w:sz w:val="21"/>
                <w:szCs w:val="21"/>
                <w:highlight w:val="none"/>
              </w:rPr>
            </w:pPr>
            <w:r>
              <w:rPr>
                <w:rFonts w:ascii="宋体" w:hAnsi="宋体"/>
                <w:b/>
                <w:sz w:val="21"/>
                <w:szCs w:val="21"/>
                <w:highlight w:val="none"/>
              </w:rPr>
              <w:t xml:space="preserve">9. </w:t>
            </w:r>
            <w:r>
              <w:rPr>
                <w:rFonts w:hint="eastAsia" w:ascii="宋体" w:hAnsi="宋体"/>
                <w:b/>
                <w:sz w:val="21"/>
                <w:szCs w:val="21"/>
                <w:highlight w:val="none"/>
              </w:rPr>
              <w:t>应急准备与相应活动的演练及对预案可行性的评价</w:t>
            </w:r>
            <w:r>
              <w:rPr>
                <w:rFonts w:ascii="宋体" w:hAnsi="宋体"/>
                <w:b/>
                <w:sz w:val="21"/>
                <w:szCs w:val="21"/>
                <w:highlight w:val="none"/>
              </w:rPr>
              <w:t>(</w:t>
            </w:r>
            <w:r>
              <w:rPr>
                <w:rFonts w:hint="eastAsia" w:ascii="宋体" w:hAnsi="宋体"/>
                <w:b/>
                <w:sz w:val="21"/>
                <w:szCs w:val="21"/>
                <w:highlight w:val="none"/>
              </w:rPr>
              <w:t>当有规定时</w:t>
            </w:r>
            <w:r>
              <w:rPr>
                <w:rFonts w:ascii="宋体" w:hAnsi="宋体"/>
                <w:b/>
                <w:sz w:val="21"/>
                <w:szCs w:val="21"/>
                <w:highlight w:val="none"/>
              </w:rPr>
              <w:t xml:space="preserve">) </w:t>
            </w:r>
          </w:p>
          <w:p>
            <w:pPr>
              <w:spacing w:line="360" w:lineRule="auto"/>
              <w:ind w:firstLine="396" w:firstLineChars="200"/>
              <w:rPr>
                <w:rFonts w:hint="eastAsia" w:ascii="宋体" w:hAnsi="宋体" w:eastAsia="宋体" w:cs="Arial"/>
                <w:color w:val="auto"/>
                <w:spacing w:val="-6"/>
                <w:kern w:val="2"/>
                <w:sz w:val="21"/>
                <w:szCs w:val="21"/>
                <w:highlight w:val="none"/>
                <w:lang w:val="en-US" w:eastAsia="zh-CN" w:bidi="ar-SA"/>
              </w:rPr>
            </w:pPr>
            <w:r>
              <w:rPr>
                <w:rFonts w:hint="eastAsia" w:ascii="宋体" w:hAnsi="宋体" w:eastAsia="宋体" w:cs="Arial"/>
                <w:color w:val="auto"/>
                <w:spacing w:val="-6"/>
                <w:kern w:val="2"/>
                <w:sz w:val="21"/>
                <w:szCs w:val="21"/>
                <w:highlight w:val="none"/>
                <w:lang w:val="en-US" w:eastAsia="zh-CN" w:bidi="ar-SA"/>
              </w:rPr>
              <w:t>编制了《应急准备和响应程序》，建立了火灾、触电、机械伤害等应急预案，由生产部组织演练，提供了应急预案演习记录，并对有效性做评价。</w:t>
            </w:r>
          </w:p>
          <w:p>
            <w:pPr>
              <w:spacing w:line="360" w:lineRule="auto"/>
              <w:ind w:firstLine="396" w:firstLineChars="200"/>
              <w:rPr>
                <w:rFonts w:ascii="宋体" w:hAnsi="宋体"/>
                <w:b/>
                <w:sz w:val="21"/>
                <w:szCs w:val="21"/>
                <w:highlight w:val="none"/>
              </w:rPr>
            </w:pPr>
            <w:r>
              <w:rPr>
                <w:rFonts w:hint="eastAsia" w:ascii="宋体" w:hAnsi="宋体" w:eastAsia="宋体" w:cs="Arial"/>
                <w:color w:val="auto"/>
                <w:spacing w:val="-6"/>
                <w:kern w:val="2"/>
                <w:sz w:val="21"/>
                <w:szCs w:val="21"/>
                <w:highlight w:val="none"/>
                <w:lang w:val="en-US" w:eastAsia="zh-CN" w:bidi="ar-SA"/>
              </w:rPr>
              <w:t>自体系运行以来尚未发生紧急情况。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360" w:lineRule="auto"/>
              <w:ind w:left="240" w:leftChars="100" w:firstLine="99" w:firstLineChars="50"/>
              <w:jc w:val="left"/>
              <w:rPr>
                <w:rFonts w:ascii="宋体" w:hAnsi="宋体"/>
                <w:b/>
                <w:sz w:val="21"/>
                <w:szCs w:val="21"/>
              </w:rPr>
            </w:pPr>
            <w:r>
              <w:rPr>
                <w:rFonts w:hint="eastAsia" w:ascii="宋体" w:hAnsi="宋体" w:eastAsia="宋体" w:cs="Arial"/>
                <w:color w:val="auto"/>
                <w:spacing w:val="-6"/>
                <w:kern w:val="2"/>
                <w:sz w:val="21"/>
                <w:szCs w:val="21"/>
                <w:lang w:val="en-US" w:eastAsia="zh-CN" w:bidi="ar-SA"/>
              </w:rPr>
              <w:t>提供行车、安全阀定期检验的证据，符合要求。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hint="eastAsia" w:ascii="宋体" w:hAnsi="宋体" w:eastAsia="宋体" w:cs="Times New Roman"/>
                <w:b/>
                <w:sz w:val="21"/>
                <w:szCs w:val="21"/>
              </w:rPr>
            </w:pPr>
            <w:r>
              <w:rPr>
                <w:rFonts w:hint="eastAsia" w:ascii="宋体" w:hAnsi="宋体" w:eastAsia="宋体" w:cs="Times New Roman"/>
                <w:b/>
                <w:sz w:val="21"/>
                <w:szCs w:val="21"/>
              </w:rPr>
              <w:t>11 .对危险化学品销售、使用、储存、运输处置，规定的执行力度(必要时);</w:t>
            </w:r>
          </w:p>
          <w:p>
            <w:pPr>
              <w:pStyle w:val="2"/>
              <w:spacing w:line="360" w:lineRule="auto"/>
              <w:rPr>
                <w:rFonts w:hint="eastAsia" w:eastAsia="宋体"/>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360" w:lineRule="auto"/>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360" w:lineRule="auto"/>
              <w:ind w:firstLine="396" w:firstLineChars="200"/>
              <w:jc w:val="left"/>
              <w:rPr>
                <w:rFonts w:hint="eastAsia" w:ascii="宋体" w:hAnsi="宋体" w:eastAsia="宋体" w:cs="Arial"/>
                <w:color w:val="auto"/>
                <w:spacing w:val="-6"/>
                <w:kern w:val="2"/>
                <w:sz w:val="21"/>
                <w:szCs w:val="21"/>
                <w:lang w:val="en-US" w:eastAsia="zh-CN" w:bidi="ar-SA"/>
              </w:rPr>
            </w:pPr>
            <w:r>
              <w:rPr>
                <w:rFonts w:hint="eastAsia" w:ascii="宋体" w:hAnsi="宋体" w:eastAsia="宋体" w:cs="Arial"/>
                <w:color w:val="auto"/>
                <w:spacing w:val="-6"/>
                <w:kern w:val="2"/>
                <w:sz w:val="21"/>
                <w:szCs w:val="21"/>
                <w:lang w:val="en-US" w:eastAsia="zh-CN" w:bidi="ar-SA"/>
              </w:rPr>
              <w:t>公司制定《数据分析控制程序》，收集和分析适当的数据，评价公司管理体系的适宜性和有效性，充分识别可以改进的机会；</w:t>
            </w:r>
          </w:p>
          <w:p>
            <w:pPr>
              <w:adjustRightInd w:val="0"/>
              <w:snapToGrid w:val="0"/>
              <w:spacing w:line="360" w:lineRule="auto"/>
              <w:ind w:right="120" w:rightChars="50" w:firstLine="396" w:firstLineChars="200"/>
              <w:textAlignment w:val="baseline"/>
              <w:rPr>
                <w:rFonts w:hint="default"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保持有“监视和测量控制程序”，有效文件；</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查“环境安全检查记录”，每月检查，抽见：</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default" w:ascii="宋体" w:hAnsi="宋体" w:eastAsia="宋体" w:cs="Arial"/>
                <w:color w:val="auto"/>
                <w:spacing w:val="-6"/>
                <w:sz w:val="21"/>
                <w:szCs w:val="21"/>
                <w:highlight w:val="none"/>
                <w:lang w:val="en-US" w:eastAsia="zh-CN"/>
              </w:rPr>
              <w:t>202</w:t>
            </w:r>
            <w:r>
              <w:rPr>
                <w:rFonts w:hint="eastAsia" w:ascii="宋体" w:hAnsi="宋体" w:eastAsia="宋体" w:cs="Arial"/>
                <w:color w:val="auto"/>
                <w:spacing w:val="-6"/>
                <w:sz w:val="21"/>
                <w:szCs w:val="21"/>
                <w:highlight w:val="none"/>
                <w:lang w:val="en-US" w:eastAsia="zh-CN"/>
              </w:rPr>
              <w:t>1</w:t>
            </w:r>
            <w:r>
              <w:rPr>
                <w:rFonts w:hint="default" w:ascii="宋体" w:hAnsi="宋体" w:eastAsia="宋体" w:cs="Arial"/>
                <w:color w:val="auto"/>
                <w:spacing w:val="-6"/>
                <w:sz w:val="21"/>
                <w:szCs w:val="21"/>
                <w:highlight w:val="none"/>
                <w:lang w:val="en-US" w:eastAsia="zh-CN"/>
              </w:rPr>
              <w:t>年1</w:t>
            </w:r>
            <w:r>
              <w:rPr>
                <w:rFonts w:hint="eastAsia" w:ascii="宋体" w:hAnsi="宋体" w:eastAsia="宋体" w:cs="Arial"/>
                <w:color w:val="auto"/>
                <w:spacing w:val="-6"/>
                <w:sz w:val="21"/>
                <w:szCs w:val="21"/>
                <w:highlight w:val="none"/>
                <w:lang w:val="en-US" w:eastAsia="zh-CN"/>
              </w:rPr>
              <w:t>-3</w:t>
            </w:r>
            <w:r>
              <w:rPr>
                <w:rFonts w:hint="default" w:ascii="宋体" w:hAnsi="宋体" w:eastAsia="宋体" w:cs="Arial"/>
                <w:color w:val="auto"/>
                <w:spacing w:val="-6"/>
                <w:sz w:val="21"/>
                <w:szCs w:val="21"/>
                <w:highlight w:val="none"/>
                <w:lang w:val="en-US" w:eastAsia="zh-CN"/>
              </w:rPr>
              <w:t>月</w:t>
            </w:r>
            <w:r>
              <w:rPr>
                <w:rFonts w:hint="eastAsia" w:ascii="宋体" w:hAnsi="宋体" w:eastAsia="宋体" w:cs="Arial"/>
                <w:color w:val="auto"/>
                <w:spacing w:val="-6"/>
                <w:sz w:val="21"/>
                <w:szCs w:val="21"/>
                <w:highlight w:val="none"/>
                <w:lang w:val="en-US" w:eastAsia="zh-CN"/>
              </w:rPr>
              <w:t>，对危废处理、劳防用品管理、持证上岗等等项目进行了检查，检查人黄XX等，检查结果未发现问题。介绍说，如果检查发现问题将执行《不符合、纠正与预防措施程序》，制定纠正措施进行整改。</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查见职业健康检查报告，美年达健康慈航体检中心出具，2020.12.30；职业禁忌症1人，介绍说已调岗，未保留调岗证据，交流；</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查见“年度会议材料”，对年度工作进行了总结，明确了公司优势，提出了公司发展中存在的问题，并对下年度的工作做出了安排。</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eastAsia="宋体" w:cs="Arial"/>
                <w:color w:val="auto"/>
                <w:spacing w:val="-6"/>
                <w:sz w:val="21"/>
                <w:szCs w:val="21"/>
                <w:highlight w:val="none"/>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ind w:left="105" w:hanging="105" w:hangingChars="50"/>
              <w:rPr>
                <w:rFonts w:hint="eastAsia" w:ascii="宋体" w:hAnsi="宋体" w:eastAsia="宋体" w:cs="Times New Roman"/>
                <w:b/>
                <w:sz w:val="21"/>
                <w:szCs w:val="21"/>
              </w:rPr>
            </w:pPr>
            <w:r>
              <w:rPr>
                <w:rFonts w:hint="eastAsia" w:ascii="宋体" w:hAnsi="宋体" w:eastAsia="宋体" w:cs="Times New Roman"/>
                <w:b/>
                <w:sz w:val="21"/>
                <w:szCs w:val="21"/>
              </w:rPr>
              <w:t>2.顾客满意</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编制“顾客满意度控制程序”，有效文件；明确了顾客满意度监测方法。</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保留“顾客满意程度调查表”，销售部于2020年10月11日进行顾客满意度调查，发放调查表8份，回收调查表共 8份，抽见中山市公交自行车有限公司等。调查项目包括产品质量、价格比、交货期、售后服务等。</w:t>
            </w:r>
          </w:p>
          <w:p>
            <w:pPr>
              <w:pStyle w:val="2"/>
              <w:spacing w:line="360" w:lineRule="auto"/>
            </w:pPr>
            <w:r>
              <w:rPr>
                <w:rFonts w:hint="eastAsia" w:ascii="宋体" w:hAnsi="宋体" w:cs="Arial"/>
                <w:color w:val="auto"/>
                <w:spacing w:val="-6"/>
                <w:sz w:val="21"/>
                <w:szCs w:val="21"/>
                <w:lang w:val="en-US" w:eastAsia="zh-CN"/>
              </w:rPr>
              <w:t>保留“顾客满意度调查分析”，显示对本次调查的结果进行统计分析，顾客满意度98.2。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制定有《内部审核程序》，有效文件；</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2021年1月5日至1月6日对贯标的各职能部门、车间进行内部审核，保留了内审计划、内审记录、不符合报告、内审报告；</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本次内审未开具不符合报告；</w:t>
            </w:r>
          </w:p>
          <w:p>
            <w:pPr>
              <w:adjustRightInd w:val="0"/>
              <w:snapToGrid w:val="0"/>
              <w:spacing w:line="360" w:lineRule="auto"/>
              <w:ind w:right="120" w:rightChars="50" w:firstLine="396" w:firstLineChars="20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内审覆盖了管理体系范围内的活动及标准的要求；</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eastAsia="宋体" w:cs="Arial"/>
                <w:color w:val="auto"/>
                <w:spacing w:val="-6"/>
                <w:sz w:val="21"/>
                <w:szCs w:val="21"/>
                <w:lang w:val="en-US" w:eastAsia="zh-CN"/>
              </w:rPr>
              <w:t>内审结论为：本公司管理体系是符合三个标准要求的，也是符合相关法律、法规要求的。在管理体系运行的过程中，本公司认为是较适宜的、充分的，其运行是有较的。</w:t>
            </w:r>
            <w:bookmarkStart w:id="27" w:name="_GoBack"/>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adjustRightInd w:val="0"/>
              <w:snapToGrid w:val="0"/>
              <w:spacing w:line="360" w:lineRule="auto"/>
              <w:ind w:right="120" w:rightChars="50" w:firstLine="396" w:firstLineChars="200"/>
              <w:textAlignment w:val="baseline"/>
              <w:rPr>
                <w:rFonts w:hint="eastAsia" w:ascii="宋体" w:hAnsi="宋体" w:eastAsia="宋体" w:cs="Arial"/>
                <w:spacing w:val="-6"/>
                <w:sz w:val="21"/>
                <w:szCs w:val="21"/>
                <w:lang w:val="en-US" w:eastAsia="zh-CN"/>
              </w:rPr>
            </w:pPr>
            <w:r>
              <w:rPr>
                <w:rFonts w:hint="eastAsia" w:ascii="宋体" w:hAnsi="宋体" w:cs="Arial"/>
                <w:spacing w:val="-6"/>
                <w:sz w:val="21"/>
                <w:szCs w:val="21"/>
                <w:lang w:val="en-US" w:eastAsia="zh-CN"/>
              </w:rPr>
              <w:t>2021年1月13日召开管理评审会议</w:t>
            </w:r>
            <w:r>
              <w:rPr>
                <w:rFonts w:hint="eastAsia" w:ascii="宋体" w:hAnsi="宋体" w:eastAsia="宋体" w:cs="Arial"/>
                <w:spacing w:val="-6"/>
                <w:sz w:val="21"/>
                <w:szCs w:val="21"/>
                <w:lang w:val="en-US" w:eastAsia="zh-CN"/>
              </w:rPr>
              <w:t>，由胡庆春总经理主持；</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保留管理评审计划、管理评审报告、管理评审会议纪要等；</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lang w:val="en-US" w:eastAsia="zh-CN"/>
              </w:rPr>
              <w:t>管理评审输入</w:t>
            </w:r>
            <w:r>
              <w:rPr>
                <w:rFonts w:hint="eastAsia" w:ascii="宋体" w:hAnsi="宋体" w:cs="Arial"/>
                <w:spacing w:val="-6"/>
                <w:sz w:val="21"/>
                <w:szCs w:val="21"/>
                <w:highlight w:val="none"/>
                <w:lang w:val="en-US" w:eastAsia="zh-CN"/>
              </w:rPr>
              <w:t>充分；</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eastAsia" w:ascii="宋体" w:hAnsi="宋体" w:cs="Arial"/>
                <w:spacing w:val="-6"/>
                <w:sz w:val="21"/>
                <w:szCs w:val="21"/>
                <w:highlight w:val="none"/>
                <w:lang w:val="en-US" w:eastAsia="zh-CN"/>
              </w:rPr>
              <w:t>对上年度管理评审改进措施进行了评审，基本落实。</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管理评审结论：管理体系的建立和运行是充分的、适宜的、有效的。</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eastAsia="宋体" w:cs="Arial"/>
                <w:spacing w:val="-6"/>
                <w:sz w:val="21"/>
                <w:szCs w:val="21"/>
                <w:lang w:val="en-US" w:eastAsia="zh-CN"/>
              </w:rPr>
              <w:t>改进措施建议主要是在沟通交流、提高工作效率、以事实说话等方面，提出来改进方法。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720" w:type="dxa"/>
            <w:vMerge w:val="continue"/>
            <w:vAlign w:val="center"/>
          </w:tcPr>
          <w:p>
            <w:pPr>
              <w:spacing w:line="360" w:lineRule="auto"/>
              <w:jc w:val="center"/>
              <w:rPr>
                <w:b/>
                <w:sz w:val="20"/>
              </w:rPr>
            </w:pPr>
          </w:p>
        </w:tc>
        <w:tc>
          <w:tcPr>
            <w:tcW w:w="9198" w:type="dxa"/>
          </w:tcPr>
          <w:p>
            <w:pPr>
              <w:adjustRightInd w:val="0"/>
              <w:snapToGrid w:val="0"/>
              <w:spacing w:line="360" w:lineRule="auto"/>
              <w:ind w:right="120" w:rightChars="50"/>
              <w:textAlignment w:val="baseline"/>
              <w:rPr>
                <w:rFonts w:hint="eastAsia" w:ascii="宋体" w:hAnsi="宋体" w:cs="Arial"/>
                <w:b/>
                <w:bCs/>
                <w:spacing w:val="-6"/>
                <w:sz w:val="21"/>
                <w:szCs w:val="21"/>
                <w:lang w:val="en-US" w:eastAsia="zh-CN"/>
              </w:rPr>
            </w:pPr>
            <w:r>
              <w:rPr>
                <w:rFonts w:hint="eastAsia" w:ascii="宋体" w:hAnsi="宋体" w:cs="Arial"/>
                <w:b/>
                <w:bCs/>
                <w:spacing w:val="-6"/>
                <w:sz w:val="21"/>
                <w:szCs w:val="21"/>
                <w:lang w:val="en-US" w:eastAsia="zh-CN"/>
              </w:rPr>
              <w:t>5.  EMS是否按规定对主要污染物（污水、废气、噪声、废渣等）及排放实施了例行的监视或测量，结果是否满足相关要求？</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查三废检测报告，介绍说，考虑到公司生产环境没有变化，另外工厂准备今年搬迁，没有及时进行，交流；</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提供2019.5.16，江西赣安检测技术有限公司出具。对废水、废气、厂界噪声进行了检测，见：</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噪声——达标，执行《工业企业厂界环境噪声捧放标准》(GB12348-2008)3类标准；</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无组织排放——达标，《大气污染物综合排放标准》( GB16297-1996)表2无组织排放监控浓度限值；</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有组织废气——达标，《大气污染物综合排放标准》( GB16297-1996)表2中二级标准；</w:t>
            </w:r>
          </w:p>
          <w:p>
            <w:pPr>
              <w:adjustRightInd w:val="0"/>
              <w:snapToGrid w:val="0"/>
              <w:spacing w:line="360" w:lineRule="auto"/>
              <w:ind w:right="120" w:rightChars="50" w:firstLine="396" w:firstLineChars="200"/>
              <w:textAlignment w:val="baseline"/>
            </w:pPr>
            <w:r>
              <w:rPr>
                <w:rFonts w:hint="eastAsia" w:ascii="宋体" w:hAnsi="宋体" w:cs="Arial"/>
                <w:spacing w:val="-6"/>
                <w:sz w:val="21"/>
                <w:szCs w:val="21"/>
                <w:lang w:val="en-US" w:eastAsia="zh-CN"/>
              </w:rPr>
              <w:t>废水——达标，参考标准樟树城北经济技术开发区污水处理厂纳管标准。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pStyle w:val="2"/>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1"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ind w:left="105" w:hanging="99" w:hangingChars="50"/>
              <w:rPr>
                <w:rFonts w:hint="eastAsia" w:ascii="宋体" w:hAnsi="宋体" w:eastAsia="宋体" w:cs="Arial"/>
                <w:b/>
                <w:bCs/>
                <w:color w:val="auto"/>
                <w:spacing w:val="-6"/>
                <w:kern w:val="2"/>
                <w:sz w:val="21"/>
                <w:szCs w:val="21"/>
                <w:highlight w:val="none"/>
                <w:lang w:val="en-US" w:eastAsia="zh-CN" w:bidi="ar-SA"/>
              </w:rPr>
            </w:pPr>
            <w:r>
              <w:rPr>
                <w:rFonts w:hint="eastAsia" w:ascii="宋体" w:hAnsi="宋体" w:eastAsia="宋体" w:cs="Arial"/>
                <w:b/>
                <w:bCs/>
                <w:color w:val="auto"/>
                <w:spacing w:val="-6"/>
                <w:kern w:val="2"/>
                <w:sz w:val="21"/>
                <w:szCs w:val="21"/>
                <w:highlight w:val="none"/>
                <w:lang w:val="en-US" w:eastAsia="zh-CN" w:bidi="ar-SA"/>
              </w:rPr>
              <w:t>7. OHSMS是否按规定对职业健康安全项目进行定期测量，结果是否满足相关要求：</w:t>
            </w:r>
          </w:p>
          <w:p>
            <w:pPr>
              <w:spacing w:line="360" w:lineRule="auto"/>
              <w:ind w:firstLine="396" w:firstLineChars="200"/>
              <w:rPr>
                <w:rFonts w:hint="eastAsia" w:ascii="宋体" w:hAnsi="宋体" w:eastAsia="宋体" w:cs="Arial"/>
                <w:color w:val="auto"/>
                <w:spacing w:val="-6"/>
                <w:kern w:val="2"/>
                <w:sz w:val="21"/>
                <w:szCs w:val="21"/>
                <w:highlight w:val="none"/>
                <w:lang w:val="en-US" w:eastAsia="zh-CN" w:bidi="ar-SA"/>
              </w:rPr>
            </w:pPr>
            <w:r>
              <w:rPr>
                <w:rFonts w:hint="eastAsia" w:ascii="宋体" w:hAnsi="宋体" w:eastAsia="宋体" w:cs="Arial"/>
                <w:color w:val="auto"/>
                <w:spacing w:val="-6"/>
                <w:kern w:val="2"/>
                <w:sz w:val="21"/>
                <w:szCs w:val="21"/>
                <w:highlight w:val="none"/>
                <w:lang w:val="en-US" w:eastAsia="zh-CN" w:bidi="ar-SA"/>
              </w:rPr>
              <w:t>保留职业健康检查报告，美年达健康慈航体检中心出具，2020.12.30；职业禁忌症1人，介绍说已调岗，未保留调岗证据，交流；</w:t>
            </w:r>
          </w:p>
          <w:p>
            <w:pPr>
              <w:pStyle w:val="2"/>
              <w:spacing w:line="360" w:lineRule="auto"/>
            </w:pPr>
            <w:r>
              <w:rPr>
                <w:rFonts w:hint="eastAsia" w:ascii="宋体" w:hAnsi="宋体" w:cs="Arial"/>
                <w:color w:val="auto"/>
                <w:spacing w:val="-6"/>
                <w:sz w:val="21"/>
                <w:szCs w:val="21"/>
                <w:highlight w:val="none"/>
                <w:lang w:val="en-US" w:eastAsia="zh-CN"/>
              </w:rPr>
              <w:t>查见职业病危害因素检测报告，2021.1.6，江西省矿检安全科技有限公司出具，对电焊、打磨、冲压、剪切、喷涂等工位的电焊烟尘、氮氧化物、锰、噪声、紫外辐射等进行了检测，判定依据：《工作场所有害因素职业接触限值》1、2部分，判定结果均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360" w:lineRule="auto"/>
              <w:jc w:val="center"/>
              <w:rPr>
                <w:b/>
                <w:sz w:val="20"/>
              </w:rPr>
            </w:pPr>
          </w:p>
        </w:tc>
        <w:tc>
          <w:tcPr>
            <w:tcW w:w="9198" w:type="dxa"/>
          </w:tcPr>
          <w:p>
            <w:pPr>
              <w:widowControl/>
              <w:spacing w:line="360" w:lineRule="auto"/>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360" w:lineRule="auto"/>
              <w:ind w:left="113" w:right="113"/>
              <w:jc w:val="center"/>
              <w:rPr>
                <w:rFonts w:ascii="宋体" w:hAnsi="宋体"/>
                <w:b/>
                <w:szCs w:val="21"/>
              </w:rPr>
            </w:pPr>
            <w:r>
              <w:rPr>
                <w:rFonts w:hint="eastAsia" w:ascii="宋体" w:hAnsi="宋体"/>
                <w:b/>
                <w:szCs w:val="21"/>
              </w:rPr>
              <w:t>(五)持</w:t>
            </w:r>
          </w:p>
          <w:p>
            <w:pPr>
              <w:spacing w:line="360" w:lineRule="auto"/>
              <w:ind w:left="113" w:right="113"/>
              <w:jc w:val="center"/>
              <w:rPr>
                <w:rFonts w:ascii="宋体" w:hAnsi="宋体"/>
                <w:b/>
                <w:szCs w:val="21"/>
              </w:rPr>
            </w:pPr>
            <w:r>
              <w:rPr>
                <w:rFonts w:hint="eastAsia" w:ascii="宋体" w:hAnsi="宋体"/>
                <w:b/>
                <w:szCs w:val="21"/>
              </w:rPr>
              <w:t>续</w:t>
            </w:r>
          </w:p>
          <w:p>
            <w:pPr>
              <w:spacing w:line="360" w:lineRule="auto"/>
              <w:ind w:left="113" w:right="113"/>
              <w:jc w:val="center"/>
              <w:rPr>
                <w:rFonts w:ascii="宋体" w:hAnsi="宋体"/>
                <w:b/>
                <w:szCs w:val="21"/>
              </w:rPr>
            </w:pPr>
            <w:r>
              <w:rPr>
                <w:rFonts w:hint="eastAsia" w:ascii="宋体" w:hAnsi="宋体"/>
                <w:b/>
                <w:szCs w:val="21"/>
              </w:rPr>
              <w:t>改</w:t>
            </w:r>
          </w:p>
          <w:p>
            <w:pPr>
              <w:spacing w:line="360" w:lineRule="auto"/>
              <w:ind w:left="113" w:right="113"/>
              <w:jc w:val="center"/>
              <w:rPr>
                <w:b/>
                <w:sz w:val="20"/>
              </w:rPr>
            </w:pPr>
            <w:r>
              <w:rPr>
                <w:rFonts w:hint="eastAsia" w:ascii="宋体" w:hAnsi="宋体"/>
                <w:b/>
                <w:szCs w:val="21"/>
              </w:rPr>
              <w:t>进</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ind w:firstLine="396" w:firstLineChars="200"/>
              <w:rPr>
                <w:rFonts w:ascii="宋体" w:hAnsi="宋体"/>
                <w:b/>
                <w:sz w:val="21"/>
                <w:szCs w:val="21"/>
              </w:rPr>
            </w:pPr>
            <w:r>
              <w:rPr>
                <w:rFonts w:hint="eastAsia" w:ascii="宋体" w:hAnsi="宋体" w:eastAsia="宋体" w:cs="Arial"/>
                <w:color w:val="auto"/>
                <w:spacing w:val="-6"/>
                <w:sz w:val="21"/>
                <w:szCs w:val="21"/>
                <w:highlight w:val="none"/>
                <w:lang w:val="en-US" w:eastAsia="zh-CN"/>
              </w:rPr>
              <w:t>企业自体系建立以来，通过内审的改进、管理评审；纠正措施的实施、顾客满意度调查等措施，采取了具体的改进措施。基本符合要求。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360" w:lineRule="auto"/>
              <w:rPr>
                <w:rFonts w:ascii="宋体" w:hAnsi="宋体"/>
                <w:b/>
                <w:sz w:val="21"/>
                <w:szCs w:val="21"/>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hint="eastAsia" w:ascii="宋体" w:hAnsi="宋体" w:eastAsia="宋体" w:cs="Times New Roman"/>
                <w:b/>
                <w:sz w:val="21"/>
                <w:szCs w:val="21"/>
              </w:rPr>
            </w:pPr>
            <w:r>
              <w:rPr>
                <w:rFonts w:hint="eastAsia" w:ascii="宋体" w:hAnsi="宋体" w:eastAsia="宋体" w:cs="Times New Roman"/>
                <w:b/>
                <w:sz w:val="21"/>
                <w:szCs w:val="21"/>
              </w:rPr>
              <w:t>4. 上次不符合的整改情况</w:t>
            </w:r>
          </w:p>
          <w:p>
            <w:pPr>
              <w:pStyle w:val="2"/>
            </w:pPr>
            <w:r>
              <w:rPr>
                <w:rFonts w:hint="eastAsia" w:ascii="宋体" w:hAnsi="宋体" w:cs="Arial"/>
                <w:spacing w:val="-6"/>
                <w:sz w:val="21"/>
                <w:szCs w:val="21"/>
                <w:highlight w:val="none"/>
                <w:lang w:val="en-US" w:eastAsia="zh-CN"/>
              </w:rPr>
              <w:t>上次监督审核时发现的问题，经现场验证已关闭，整改措施有效。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hint="eastAsia"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2051"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pStyle w:val="2"/>
      </w:pPr>
    </w:p>
    <w:p>
      <w:pPr>
        <w:tabs>
          <w:tab w:val="left" w:pos="645"/>
        </w:tabs>
        <w:spacing w:after="163" w:afterLines="50" w:line="360" w:lineRule="exact"/>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A3"/>
            </w:r>
            <w:r>
              <w:rPr>
                <w:rFonts w:ascii="宋体" w:hAnsi="宋体"/>
                <w:b/>
                <w:szCs w:val="21"/>
              </w:rPr>
              <w:t>QMS</w:t>
            </w:r>
            <w:r>
              <w:rPr>
                <w:rFonts w:hint="eastAsia" w:ascii="宋体" w:hAnsi="宋体"/>
                <w:b/>
                <w:szCs w:val="21"/>
              </w:rPr>
              <w:sym w:font="Wingdings 2" w:char="00A3"/>
            </w:r>
            <w:r>
              <w:rPr>
                <w:rFonts w:hint="eastAsia" w:ascii="宋体" w:hAnsi="宋体"/>
                <w:b/>
                <w:szCs w:val="21"/>
              </w:rPr>
              <w:t>50430</w:t>
            </w:r>
            <w:r>
              <w:rPr>
                <w:rFonts w:hint="eastAsia" w:ascii="宋体" w:hAnsi="宋体"/>
                <w:b/>
                <w:szCs w:val="21"/>
              </w:rPr>
              <w:sym w:font="Wingdings 2" w:char="00A3"/>
            </w:r>
            <w:r>
              <w:rPr>
                <w:rFonts w:ascii="宋体" w:hAnsi="宋体"/>
                <w:b/>
                <w:szCs w:val="21"/>
              </w:rPr>
              <w:t xml:space="preserve">EMS  </w:t>
            </w:r>
            <w:r>
              <w:rPr>
                <w:rFonts w:hint="eastAsia" w:ascii="宋体" w:hAnsi="宋体"/>
                <w:b/>
                <w:szCs w:val="21"/>
              </w:rPr>
              <w:sym w:font="Wingdings 2" w:char="00A3"/>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pStyle w:val="2"/>
            </w:pPr>
          </w:p>
          <w:p>
            <w:pPr>
              <w:pStyle w:val="2"/>
            </w:pPr>
          </w:p>
          <w:p>
            <w:pPr>
              <w:pStyle w:val="2"/>
            </w:pP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OHSMS持续的符合性及运行的有效性，以及与认证范围的持续相关性和适宜性及自我完善机制等。</w:t>
            </w:r>
          </w:p>
          <w:p>
            <w:pPr>
              <w:spacing w:line="360" w:lineRule="auto"/>
              <w:ind w:firstLine="396" w:firstLineChars="200"/>
              <w:rPr>
                <w:rFonts w:hint="eastAsia" w:ascii="宋体" w:hAnsi="宋体" w:eastAsia="宋体" w:cs="Arial"/>
                <w:spacing w:val="-6"/>
                <w:kern w:val="2"/>
                <w:sz w:val="21"/>
                <w:szCs w:val="21"/>
                <w:highlight w:val="none"/>
                <w:lang w:val="en-US" w:eastAsia="zh-CN" w:bidi="ar-SA"/>
              </w:rPr>
            </w:pPr>
            <w:r>
              <w:rPr>
                <w:rFonts w:hint="eastAsia" w:ascii="宋体" w:hAnsi="宋体" w:eastAsia="宋体" w:cs="Arial"/>
                <w:spacing w:val="-6"/>
                <w:kern w:val="2"/>
                <w:sz w:val="21"/>
                <w:szCs w:val="21"/>
                <w:highlight w:val="none"/>
                <w:lang w:val="en-US" w:eastAsia="zh-CN" w:bidi="ar-SA"/>
              </w:rPr>
              <w:t>组织建立并实施的管理体系基本符合标准要求，可能存在的重要风险可以得到有效控制，没有出现过环境和安全事故以及顾客投诉事件发生，体系运行基本有效，组织初步建立了自我完善和自我改进机制。</w:t>
            </w:r>
          </w:p>
          <w:p>
            <w:pPr>
              <w:spacing w:line="360" w:lineRule="auto"/>
              <w:ind w:firstLine="396" w:firstLineChars="200"/>
              <w:rPr>
                <w:rFonts w:ascii="宋体" w:hAnsi="宋体"/>
                <w:b/>
                <w:szCs w:val="21"/>
              </w:rPr>
            </w:pPr>
            <w:r>
              <w:rPr>
                <w:rFonts w:hint="eastAsia" w:ascii="宋体" w:hAnsi="宋体" w:eastAsia="宋体" w:cs="Arial"/>
                <w:spacing w:val="-6"/>
                <w:kern w:val="2"/>
                <w:sz w:val="21"/>
                <w:szCs w:val="21"/>
                <w:highlight w:val="none"/>
                <w:lang w:val="en-US" w:eastAsia="zh-CN" w:bidi="ar-SA"/>
              </w:rPr>
              <w:t>同意推荐保持认证注册资格。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rFonts w:hint="eastAsia"/>
          <w:b/>
          <w:sz w:val="21"/>
        </w:rPr>
      </w:pPr>
      <w:r>
        <w:rPr>
          <w:rFonts w:hint="eastAsia"/>
          <w:b/>
          <w:sz w:val="21"/>
        </w:rPr>
        <w:t>根据相关规定，请组织对一般不符合报告在</w:t>
      </w:r>
      <w:r>
        <w:rPr>
          <w:b/>
          <w:sz w:val="21"/>
          <w:u w:val="single"/>
        </w:rPr>
        <w:t xml:space="preserve">  </w:t>
      </w:r>
      <w:r>
        <w:rPr>
          <w:rFonts w:hint="eastAsia"/>
          <w:b/>
          <w:sz w:val="21"/>
          <w:u w:val="single"/>
          <w:lang w:val="en-US" w:eastAsia="zh-CN"/>
        </w:rPr>
        <w:t xml:space="preserve"> </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pStyle w:val="2"/>
      </w:pPr>
    </w:p>
    <w:p>
      <w:pPr>
        <w:spacing w:before="163" w:beforeLines="50" w:after="163" w:afterLines="50"/>
        <w:ind w:left="-122" w:leftChars="-51" w:firstLine="120" w:firstLineChars="46"/>
        <w:rPr>
          <w:rFonts w:hint="eastAsia"/>
          <w:b/>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pStyle w:val="2"/>
      </w:pP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1579880</wp:posOffset>
            </wp:positionH>
            <wp:positionV relativeFrom="paragraph">
              <wp:posOffset>254000</wp:posOffset>
            </wp:positionV>
            <wp:extent cx="845185" cy="509270"/>
            <wp:effectExtent l="0" t="0" r="12065" b="5080"/>
            <wp:wrapNone/>
            <wp:docPr id="1" name="图片 3"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45185" cy="50927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2034540</wp:posOffset>
            </wp:positionH>
            <wp:positionV relativeFrom="paragraph">
              <wp:posOffset>20955</wp:posOffset>
            </wp:positionV>
            <wp:extent cx="870585" cy="534670"/>
            <wp:effectExtent l="0" t="0" r="5715" b="17780"/>
            <wp:wrapNone/>
            <wp:docPr id="2" name="图片 2" descr="签名-文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文波"/>
                    <pic:cNvPicPr>
                      <a:picLocks noChangeAspect="1"/>
                    </pic:cNvPicPr>
                  </pic:nvPicPr>
                  <pic:blipFill>
                    <a:blip r:embed="rId7"/>
                    <a:stretch>
                      <a:fillRect/>
                    </a:stretch>
                  </pic:blipFill>
                  <pic:spPr>
                    <a:xfrm>
                      <a:off x="0" y="0"/>
                      <a:ext cx="870585" cy="53467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2021.3.31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7"/>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7"/>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F50C56"/>
    <w:rsid w:val="4D1B0FB5"/>
    <w:rsid w:val="601A60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60"/>
      <w:jc w:val="both"/>
    </w:pPr>
    <w:rPr>
      <w:rFonts w:ascii="Times New Roman" w:hAnsi="Times New Roman" w:eastAsia="宋体" w:cs="Times New Roman"/>
      <w:kern w:val="2"/>
      <w:sz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rPr>
  </w:style>
  <w:style w:type="paragraph" w:styleId="3">
    <w:name w:val="Body Text Indent"/>
    <w:basedOn w:val="1"/>
    <w:qFormat/>
    <w:uiPriority w:val="99"/>
    <w:pPr>
      <w:spacing w:after="120"/>
      <w:ind w:left="420" w:leftChars="200"/>
    </w:pPr>
  </w:style>
  <w:style w:type="paragraph" w:styleId="4">
    <w:name w:val="Balloon Text"/>
    <w:basedOn w:val="1"/>
    <w:link w:val="12"/>
    <w:semiHidden/>
    <w:uiPriority w:val="99"/>
    <w:rPr>
      <w:sz w:val="18"/>
      <w:szCs w:val="18"/>
    </w:rPr>
  </w:style>
  <w:style w:type="paragraph" w:styleId="5">
    <w:name w:val="footer"/>
    <w:basedOn w:val="1"/>
    <w:link w:val="13"/>
    <w:semiHidden/>
    <w:qFormat/>
    <w:uiPriority w:val="99"/>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Body Text First Indent 2"/>
    <w:basedOn w:val="3"/>
    <w:qFormat/>
    <w:uiPriority w:val="99"/>
    <w:pPr>
      <w:spacing w:before="10" w:after="0"/>
      <w:ind w:left="0" w:leftChars="0" w:firstLine="420" w:firstLineChars="200"/>
      <w:jc w:val="left"/>
    </w:pPr>
    <w:rPr>
      <w:rFonts w:ascii="宋体" w:hAnsi="宋体"/>
      <w:color w:val="000000"/>
      <w:kern w:val="0"/>
      <w:szCs w:val="24"/>
    </w:rPr>
  </w:style>
  <w:style w:type="table" w:styleId="9">
    <w:name w:val="Table Grid"/>
    <w:basedOn w:val="8"/>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character" w:customStyle="1" w:styleId="12">
    <w:name w:val="批注框文本 Char"/>
    <w:link w:val="4"/>
    <w:semiHidden/>
    <w:locked/>
    <w:uiPriority w:val="99"/>
    <w:rPr>
      <w:rFonts w:ascii="Times New Roman" w:hAnsi="Times New Roman" w:eastAsia="宋体" w:cs="Times New Roman"/>
      <w:sz w:val="18"/>
      <w:szCs w:val="18"/>
    </w:rPr>
  </w:style>
  <w:style w:type="character" w:customStyle="1" w:styleId="13">
    <w:name w:val="页脚 Char"/>
    <w:link w:val="5"/>
    <w:semiHidden/>
    <w:qFormat/>
    <w:locked/>
    <w:uiPriority w:val="99"/>
    <w:rPr>
      <w:rFonts w:ascii="Times New Roman" w:hAnsi="Times New Roman" w:eastAsia="宋体" w:cs="Times New Roman"/>
      <w:sz w:val="18"/>
      <w:szCs w:val="18"/>
    </w:rPr>
  </w:style>
  <w:style w:type="character" w:customStyle="1" w:styleId="14">
    <w:name w:val="页眉 Char"/>
    <w:link w:val="6"/>
    <w:locked/>
    <w:uiPriority w:val="0"/>
    <w:rPr>
      <w:sz w:val="18"/>
    </w:rPr>
  </w:style>
  <w:style w:type="character" w:customStyle="1" w:styleId="15">
    <w:name w:val="页眉 Char1"/>
    <w:semiHidden/>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rPr>
      <w:sz w:val="21"/>
      <w:szCs w:val="24"/>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lenovo1018</cp:lastModifiedBy>
  <cp:lastPrinted>2019-04-18T08:15:00Z</cp:lastPrinted>
  <dcterms:modified xsi:type="dcterms:W3CDTF">2021-03-31T08:18:01Z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