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5A4" w:rsidRDefault="00D31601" w:rsidP="00E0300F">
      <w:pPr>
        <w:snapToGrid w:val="0"/>
        <w:spacing w:beforeLines="50" w:line="360" w:lineRule="exact"/>
        <w:jc w:val="center"/>
        <w:rPr>
          <w:rFonts w:asciiTheme="minorEastAsia" w:eastAsiaTheme="minorEastAsia" w:hAnsiTheme="minorEastAsia" w:hint="eastAsia"/>
          <w:b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tbl>
      <w:tblPr>
        <w:tblW w:w="1028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4"/>
        <w:gridCol w:w="1340"/>
        <w:gridCol w:w="958"/>
        <w:gridCol w:w="1275"/>
        <w:gridCol w:w="1134"/>
        <w:gridCol w:w="1560"/>
        <w:gridCol w:w="398"/>
        <w:gridCol w:w="1720"/>
        <w:gridCol w:w="1232"/>
      </w:tblGrid>
      <w:tr w:rsidR="00E0300F" w:rsidTr="00BA5523">
        <w:trPr>
          <w:cantSplit/>
          <w:trHeight w:val="719"/>
          <w:jc w:val="center"/>
        </w:trPr>
        <w:tc>
          <w:tcPr>
            <w:tcW w:w="2004" w:type="dxa"/>
            <w:gridSpan w:val="2"/>
            <w:tcBorders>
              <w:top w:val="single" w:sz="8" w:space="0" w:color="auto"/>
            </w:tcBorders>
            <w:vAlign w:val="center"/>
          </w:tcPr>
          <w:p w:rsidR="00E0300F" w:rsidRDefault="00E0300F" w:rsidP="008118E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3367" w:type="dxa"/>
            <w:gridSpan w:val="3"/>
            <w:tcBorders>
              <w:top w:val="single" w:sz="8" w:space="0" w:color="auto"/>
            </w:tcBorders>
            <w:vAlign w:val="center"/>
          </w:tcPr>
          <w:p w:rsidR="00E0300F" w:rsidRDefault="00E0300F" w:rsidP="0081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92551C">
              <w:rPr>
                <w:rFonts w:hint="eastAsia"/>
                <w:b/>
                <w:sz w:val="20"/>
              </w:rPr>
              <w:t>江西万佳保险设备有限公司</w:t>
            </w:r>
          </w:p>
        </w:tc>
        <w:tc>
          <w:tcPr>
            <w:tcW w:w="1560" w:type="dxa"/>
            <w:tcBorders>
              <w:top w:val="single" w:sz="8" w:space="0" w:color="auto"/>
            </w:tcBorders>
            <w:vAlign w:val="center"/>
          </w:tcPr>
          <w:p w:rsidR="00E0300F" w:rsidRDefault="00E0300F" w:rsidP="008118E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0300F" w:rsidRDefault="00E0300F" w:rsidP="008118E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3350" w:type="dxa"/>
            <w:gridSpan w:val="3"/>
            <w:tcBorders>
              <w:top w:val="single" w:sz="8" w:space="0" w:color="auto"/>
            </w:tcBorders>
            <w:vAlign w:val="center"/>
          </w:tcPr>
          <w:p w:rsidR="00E0300F" w:rsidRDefault="00E0300F" w:rsidP="00BA5523"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17.06.02;17.12.01;23.01.01</w:t>
            </w:r>
          </w:p>
          <w:p w:rsidR="00E0300F" w:rsidRDefault="00E0300F" w:rsidP="00BA5523"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17.06.02;17.12.01;23.01.01</w:t>
            </w:r>
          </w:p>
          <w:p w:rsidR="00E0300F" w:rsidRDefault="00E0300F" w:rsidP="00BA5523">
            <w:pPr>
              <w:snapToGrid w:val="0"/>
              <w:spacing w:line="280" w:lineRule="exact"/>
              <w:ind w:left="52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17.12.05;23.01.01</w:t>
            </w:r>
          </w:p>
        </w:tc>
      </w:tr>
      <w:tr w:rsidR="00E0300F" w:rsidTr="00E0300F">
        <w:trPr>
          <w:cantSplit/>
          <w:trHeight w:val="807"/>
          <w:jc w:val="center"/>
        </w:trPr>
        <w:tc>
          <w:tcPr>
            <w:tcW w:w="2004" w:type="dxa"/>
            <w:gridSpan w:val="2"/>
            <w:vAlign w:val="center"/>
          </w:tcPr>
          <w:p w:rsidR="00E0300F" w:rsidRDefault="00E0300F" w:rsidP="008118E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958" w:type="dxa"/>
            <w:vAlign w:val="center"/>
          </w:tcPr>
          <w:p w:rsidR="00E0300F" w:rsidRDefault="00E0300F" w:rsidP="0081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文波</w:t>
            </w:r>
          </w:p>
        </w:tc>
        <w:tc>
          <w:tcPr>
            <w:tcW w:w="1275" w:type="dxa"/>
            <w:vAlign w:val="center"/>
          </w:tcPr>
          <w:p w:rsidR="00E0300F" w:rsidRDefault="00E0300F" w:rsidP="008118E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3092" w:type="dxa"/>
            <w:gridSpan w:val="3"/>
            <w:vAlign w:val="center"/>
          </w:tcPr>
          <w:p w:rsidR="00E0300F" w:rsidRDefault="00E0300F" w:rsidP="00BA55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17.06.02;17.12.01;23.01.01</w:t>
            </w:r>
          </w:p>
          <w:p w:rsidR="00E0300F" w:rsidRDefault="00E0300F" w:rsidP="00BA55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17.06.02;17.12.01;23.01.01</w:t>
            </w:r>
          </w:p>
          <w:p w:rsidR="00E0300F" w:rsidRDefault="00E0300F" w:rsidP="00E0300F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17.12.05;23.01.01</w:t>
            </w:r>
          </w:p>
        </w:tc>
        <w:tc>
          <w:tcPr>
            <w:tcW w:w="1720" w:type="dxa"/>
            <w:vAlign w:val="center"/>
          </w:tcPr>
          <w:p w:rsidR="00E0300F" w:rsidRDefault="00E0300F" w:rsidP="008118E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232" w:type="dxa"/>
            <w:vAlign w:val="center"/>
          </w:tcPr>
          <w:p w:rsidR="00E0300F" w:rsidRDefault="00E0300F" w:rsidP="0081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会议室</w:t>
            </w:r>
          </w:p>
        </w:tc>
      </w:tr>
      <w:tr w:rsidR="00E0300F" w:rsidTr="00E0300F">
        <w:trPr>
          <w:cantSplit/>
          <w:trHeight w:val="588"/>
          <w:jc w:val="center"/>
        </w:trPr>
        <w:tc>
          <w:tcPr>
            <w:tcW w:w="664" w:type="dxa"/>
            <w:vMerge w:val="restart"/>
            <w:tcBorders>
              <w:left w:val="single" w:sz="4" w:space="0" w:color="auto"/>
            </w:tcBorders>
            <w:vAlign w:val="center"/>
          </w:tcPr>
          <w:p w:rsidR="00E0300F" w:rsidRDefault="00E0300F" w:rsidP="008118E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0300F" w:rsidRDefault="00E0300F" w:rsidP="008118E1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233" w:type="dxa"/>
            <w:gridSpan w:val="2"/>
            <w:vAlign w:val="center"/>
          </w:tcPr>
          <w:p w:rsidR="00E0300F" w:rsidRDefault="00E0300F" w:rsidP="008118E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褚敏杰</w:t>
            </w:r>
          </w:p>
        </w:tc>
        <w:tc>
          <w:tcPr>
            <w:tcW w:w="3092" w:type="dxa"/>
            <w:gridSpan w:val="3"/>
            <w:vAlign w:val="center"/>
          </w:tcPr>
          <w:p w:rsidR="00E0300F" w:rsidRDefault="00E0300F" w:rsidP="008118E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0300F" w:rsidRDefault="00E0300F" w:rsidP="008118E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2" w:type="dxa"/>
            <w:vAlign w:val="center"/>
          </w:tcPr>
          <w:p w:rsidR="00E0300F" w:rsidRDefault="00E0300F" w:rsidP="008118E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0300F" w:rsidTr="00E0300F">
        <w:trPr>
          <w:cantSplit/>
          <w:trHeight w:val="640"/>
          <w:jc w:val="center"/>
        </w:trPr>
        <w:tc>
          <w:tcPr>
            <w:tcW w:w="664" w:type="dxa"/>
            <w:vMerge/>
            <w:tcBorders>
              <w:left w:val="single" w:sz="4" w:space="0" w:color="auto"/>
            </w:tcBorders>
            <w:vAlign w:val="center"/>
          </w:tcPr>
          <w:p w:rsidR="00E0300F" w:rsidRDefault="00E0300F" w:rsidP="008118E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E0300F" w:rsidRDefault="00E0300F" w:rsidP="0081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233" w:type="dxa"/>
            <w:gridSpan w:val="2"/>
            <w:vAlign w:val="center"/>
          </w:tcPr>
          <w:p w:rsidR="00E0300F" w:rsidRDefault="00E0300F" w:rsidP="008118E1">
            <w:pPr>
              <w:snapToGrid w:val="0"/>
              <w:spacing w:line="360" w:lineRule="exact"/>
              <w:rPr>
                <w:b/>
                <w:sz w:val="20"/>
              </w:rPr>
            </w:pPr>
          </w:p>
        </w:tc>
        <w:tc>
          <w:tcPr>
            <w:tcW w:w="3092" w:type="dxa"/>
            <w:gridSpan w:val="3"/>
            <w:vAlign w:val="center"/>
          </w:tcPr>
          <w:p w:rsidR="00E0300F" w:rsidRDefault="00E0300F" w:rsidP="008118E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0300F" w:rsidRDefault="00E0300F" w:rsidP="008118E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32" w:type="dxa"/>
            <w:vAlign w:val="center"/>
          </w:tcPr>
          <w:p w:rsidR="00E0300F" w:rsidRDefault="00E0300F" w:rsidP="008118E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0300F" w:rsidTr="00E0300F">
        <w:trPr>
          <w:cantSplit/>
          <w:trHeight w:val="1088"/>
          <w:jc w:val="center"/>
        </w:trPr>
        <w:tc>
          <w:tcPr>
            <w:tcW w:w="2004" w:type="dxa"/>
            <w:gridSpan w:val="2"/>
            <w:tcBorders>
              <w:left w:val="single" w:sz="4" w:space="0" w:color="auto"/>
            </w:tcBorders>
            <w:vAlign w:val="center"/>
          </w:tcPr>
          <w:p w:rsidR="00E0300F" w:rsidRDefault="00E0300F" w:rsidP="0081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0300F" w:rsidRDefault="00E0300F" w:rsidP="0081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277" w:type="dxa"/>
            <w:gridSpan w:val="7"/>
            <w:vAlign w:val="center"/>
          </w:tcPr>
          <w:p w:rsidR="00E0300F" w:rsidRDefault="00E0300F" w:rsidP="008118E1">
            <w:pPr>
              <w:spacing w:line="4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rFonts w:hint="eastAsia"/>
                <w:sz w:val="20"/>
              </w:rPr>
              <w:t>、生产工艺流程：</w:t>
            </w:r>
          </w:p>
          <w:p w:rsidR="00E0300F" w:rsidRDefault="00E0300F" w:rsidP="008118E1">
            <w:pPr>
              <w:spacing w:line="400" w:lineRule="exact"/>
              <w:rPr>
                <w:b/>
                <w:sz w:val="20"/>
              </w:rPr>
            </w:pPr>
            <w:r w:rsidRPr="0092551C">
              <w:rPr>
                <w:rFonts w:hint="eastAsia"/>
                <w:sz w:val="20"/>
              </w:rPr>
              <w:t>剪切下料→冲压成型→折弯→焊接成型→表面喷塑→装配工序→成品检验→包装→入库</w:t>
            </w:r>
          </w:p>
        </w:tc>
      </w:tr>
      <w:tr w:rsidR="00E0300F" w:rsidTr="008118E1">
        <w:trPr>
          <w:cantSplit/>
          <w:trHeight w:val="1030"/>
          <w:jc w:val="center"/>
        </w:trPr>
        <w:tc>
          <w:tcPr>
            <w:tcW w:w="2004" w:type="dxa"/>
            <w:gridSpan w:val="2"/>
            <w:tcBorders>
              <w:left w:val="single" w:sz="4" w:space="0" w:color="auto"/>
            </w:tcBorders>
            <w:vAlign w:val="center"/>
          </w:tcPr>
          <w:p w:rsidR="00E0300F" w:rsidRDefault="00E0300F" w:rsidP="008118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0300F" w:rsidRDefault="00E0300F" w:rsidP="008118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E0300F" w:rsidRDefault="00E0300F" w:rsidP="008118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277" w:type="dxa"/>
            <w:gridSpan w:val="7"/>
            <w:vAlign w:val="center"/>
          </w:tcPr>
          <w:p w:rsidR="00E0300F" w:rsidRDefault="00E0300F" w:rsidP="008118E1">
            <w:pPr>
              <w:spacing w:line="400" w:lineRule="exact"/>
              <w:rPr>
                <w:sz w:val="20"/>
              </w:rPr>
            </w:pPr>
            <w:r>
              <w:rPr>
                <w:sz w:val="20"/>
              </w:rPr>
              <w:t>关键过程是</w:t>
            </w:r>
            <w:r>
              <w:rPr>
                <w:rFonts w:hint="eastAsia"/>
                <w:sz w:val="20"/>
              </w:rPr>
              <w:t>焊接</w:t>
            </w:r>
            <w:r>
              <w:rPr>
                <w:sz w:val="20"/>
              </w:rPr>
              <w:t>和喷塑过程</w:t>
            </w:r>
            <w:r>
              <w:rPr>
                <w:rFonts w:hint="eastAsia"/>
                <w:sz w:val="20"/>
              </w:rPr>
              <w:t>，焊接</w:t>
            </w:r>
            <w:r>
              <w:rPr>
                <w:sz w:val="20"/>
              </w:rPr>
              <w:t>过程主要是控制焊接电流电压焊丝直径</w:t>
            </w:r>
            <w:r>
              <w:rPr>
                <w:rFonts w:hint="eastAsia"/>
                <w:sz w:val="20"/>
              </w:rPr>
              <w:t>，喷塑过程主要是控制色差、气压、喷嘴距离、温度、时间。</w:t>
            </w:r>
          </w:p>
        </w:tc>
      </w:tr>
      <w:tr w:rsidR="00E0300F" w:rsidTr="008118E1">
        <w:trPr>
          <w:cantSplit/>
          <w:trHeight w:val="1238"/>
          <w:jc w:val="center"/>
        </w:trPr>
        <w:tc>
          <w:tcPr>
            <w:tcW w:w="2004" w:type="dxa"/>
            <w:gridSpan w:val="2"/>
            <w:tcBorders>
              <w:left w:val="single" w:sz="4" w:space="0" w:color="auto"/>
            </w:tcBorders>
            <w:vAlign w:val="center"/>
          </w:tcPr>
          <w:p w:rsidR="00E0300F" w:rsidRDefault="00E0300F" w:rsidP="008118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277" w:type="dxa"/>
            <w:gridSpan w:val="7"/>
            <w:vAlign w:val="center"/>
          </w:tcPr>
          <w:p w:rsidR="00E0300F" w:rsidRDefault="00E0300F" w:rsidP="008118E1">
            <w:pPr>
              <w:spacing w:line="40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重大环境因素：</w:t>
            </w:r>
            <w:r>
              <w:rPr>
                <w:rFonts w:hint="eastAsia"/>
                <w:sz w:val="20"/>
              </w:rPr>
              <w:t>潜在</w:t>
            </w:r>
            <w:r>
              <w:rPr>
                <w:rFonts w:hint="eastAsia"/>
                <w:sz w:val="20"/>
              </w:rPr>
              <w:t>火灾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爆炸、</w:t>
            </w:r>
            <w:r>
              <w:rPr>
                <w:rFonts w:hint="eastAsia"/>
                <w:sz w:val="20"/>
              </w:rPr>
              <w:t>粉尘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废气排放、固废排放、</w:t>
            </w:r>
            <w:r>
              <w:rPr>
                <w:rFonts w:hint="eastAsia"/>
                <w:sz w:val="20"/>
              </w:rPr>
              <w:t>噪音排放。</w:t>
            </w:r>
          </w:p>
          <w:p w:rsidR="00E0300F" w:rsidRDefault="00E0300F" w:rsidP="008118E1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控制措施：一般固废集中收集外售</w:t>
            </w:r>
            <w:r w:rsidRPr="00601C24">
              <w:rPr>
                <w:rFonts w:hint="eastAsia"/>
                <w:sz w:val="20"/>
              </w:rPr>
              <w:t>；危废委托有资质单位回收；选用低噪声设备，合理布局，隔声减震，厂房隔音；</w:t>
            </w:r>
            <w:r>
              <w:rPr>
                <w:rFonts w:hint="eastAsia"/>
                <w:sz w:val="20"/>
              </w:rPr>
              <w:t>气瓶摆放规范，放置稳固；</w:t>
            </w:r>
            <w:r w:rsidRPr="00601C24">
              <w:rPr>
                <w:rFonts w:hint="eastAsia"/>
                <w:sz w:val="20"/>
              </w:rPr>
              <w:t>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 w:rsidR="00E0300F" w:rsidTr="008118E1">
        <w:trPr>
          <w:cantSplit/>
          <w:trHeight w:val="865"/>
          <w:jc w:val="center"/>
        </w:trPr>
        <w:tc>
          <w:tcPr>
            <w:tcW w:w="2004" w:type="dxa"/>
            <w:gridSpan w:val="2"/>
            <w:tcBorders>
              <w:left w:val="single" w:sz="4" w:space="0" w:color="auto"/>
            </w:tcBorders>
            <w:vAlign w:val="center"/>
          </w:tcPr>
          <w:p w:rsidR="00E0300F" w:rsidRDefault="00E0300F" w:rsidP="008118E1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277" w:type="dxa"/>
            <w:gridSpan w:val="7"/>
            <w:vAlign w:val="center"/>
          </w:tcPr>
          <w:p w:rsidR="00E0300F" w:rsidRDefault="00E0300F" w:rsidP="00E0300F">
            <w:pPr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不可接受风险：火灾，触电、粉尘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吸入性伤害、噪声伤害、机械伤害等；</w:t>
            </w:r>
          </w:p>
          <w:p w:rsidR="00E0300F" w:rsidRDefault="00E0300F" w:rsidP="00E0300F">
            <w:pPr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控制措施：选用低噪声设备，合理布局，隔声减震；</w:t>
            </w:r>
            <w:r w:rsidRPr="00A90E57">
              <w:rPr>
                <w:rFonts w:hint="eastAsia"/>
                <w:sz w:val="20"/>
              </w:rPr>
              <w:t>设备加防护罩、</w:t>
            </w:r>
            <w:r>
              <w:rPr>
                <w:rFonts w:hint="eastAsia"/>
                <w:sz w:val="20"/>
              </w:rPr>
              <w:t>设备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电路定期检修、不定期检查，提高安全意识；做好火灾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爆炸</w:t>
            </w:r>
            <w:r>
              <w:rPr>
                <w:rFonts w:hint="eastAsia"/>
                <w:sz w:val="20"/>
              </w:rPr>
              <w:t>/</w:t>
            </w:r>
            <w:r>
              <w:rPr>
                <w:rFonts w:hint="eastAsia"/>
                <w:sz w:val="20"/>
              </w:rPr>
              <w:t>触电等预防措施。一旦发生按相关应急预案执行；加强个体防护。</w:t>
            </w:r>
          </w:p>
        </w:tc>
      </w:tr>
      <w:tr w:rsidR="00E0300F" w:rsidTr="008118E1">
        <w:trPr>
          <w:cantSplit/>
          <w:trHeight w:val="921"/>
          <w:jc w:val="center"/>
        </w:trPr>
        <w:tc>
          <w:tcPr>
            <w:tcW w:w="2004" w:type="dxa"/>
            <w:gridSpan w:val="2"/>
            <w:tcBorders>
              <w:left w:val="single" w:sz="4" w:space="0" w:color="auto"/>
            </w:tcBorders>
            <w:vAlign w:val="center"/>
          </w:tcPr>
          <w:p w:rsidR="00E0300F" w:rsidRDefault="00E0300F" w:rsidP="008118E1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277" w:type="dxa"/>
            <w:gridSpan w:val="7"/>
            <w:vAlign w:val="center"/>
          </w:tcPr>
          <w:p w:rsidR="00E0300F" w:rsidRPr="0092551C" w:rsidRDefault="00E0300F" w:rsidP="008118E1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92551C">
              <w:rPr>
                <w:rFonts w:hint="eastAsia"/>
                <w:sz w:val="20"/>
              </w:rPr>
              <w:t>中华人民共和国环境影响评价法</w:t>
            </w:r>
            <w:r>
              <w:rPr>
                <w:rFonts w:hint="eastAsia"/>
                <w:sz w:val="20"/>
              </w:rPr>
              <w:t>、固体废物污染环境防治法、大气污染环境防治法，</w:t>
            </w:r>
            <w:r w:rsidRPr="0092551C">
              <w:rPr>
                <w:rFonts w:hint="eastAsia"/>
                <w:sz w:val="20"/>
              </w:rPr>
              <w:t>中华人民共和国环境噪声污染防治法</w:t>
            </w:r>
            <w:r>
              <w:rPr>
                <w:rFonts w:hint="eastAsia"/>
                <w:sz w:val="20"/>
              </w:rPr>
              <w:t>、</w:t>
            </w:r>
            <w:r w:rsidRPr="0092551C">
              <w:rPr>
                <w:rFonts w:hint="eastAsia"/>
                <w:sz w:val="20"/>
              </w:rPr>
              <w:t>工业企业厂界环境噪声排放标准</w:t>
            </w:r>
            <w:r>
              <w:rPr>
                <w:rFonts w:hint="eastAsia"/>
                <w:sz w:val="20"/>
              </w:rPr>
              <w:t>、金属家具通用技术条件</w:t>
            </w:r>
            <w:r>
              <w:rPr>
                <w:rFonts w:hint="eastAsia"/>
                <w:sz w:val="20"/>
              </w:rPr>
              <w:t>GB/T3325-2017</w:t>
            </w:r>
            <w:r>
              <w:rPr>
                <w:rFonts w:hint="eastAsia"/>
                <w:sz w:val="20"/>
              </w:rPr>
              <w:t>、</w:t>
            </w:r>
            <w:r w:rsidRPr="0092551C">
              <w:rPr>
                <w:rFonts w:hint="eastAsia"/>
                <w:sz w:val="20"/>
              </w:rPr>
              <w:t>钢制文件柜技术条件</w:t>
            </w:r>
            <w:r w:rsidRPr="0092551C">
              <w:rPr>
                <w:sz w:val="20"/>
              </w:rPr>
              <w:t>QB1097—2010</w:t>
            </w:r>
            <w:r>
              <w:rPr>
                <w:sz w:val="20"/>
              </w:rPr>
              <w:t>、</w:t>
            </w:r>
            <w:r w:rsidRPr="0092551C">
              <w:rPr>
                <w:rFonts w:hint="eastAsia"/>
                <w:sz w:val="20"/>
              </w:rPr>
              <w:t>钢制书架第</w:t>
            </w:r>
            <w:r w:rsidRPr="0092551C">
              <w:rPr>
                <w:rFonts w:hint="eastAsia"/>
                <w:sz w:val="20"/>
              </w:rPr>
              <w:t>1</w:t>
            </w:r>
            <w:r w:rsidRPr="0092551C">
              <w:rPr>
                <w:rFonts w:hint="eastAsia"/>
                <w:sz w:val="20"/>
              </w:rPr>
              <w:t>部分：单、复柱书架</w:t>
            </w:r>
          </w:p>
          <w:p w:rsidR="00E0300F" w:rsidRDefault="00E0300F" w:rsidP="00E0300F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92551C">
              <w:rPr>
                <w:sz w:val="20"/>
              </w:rPr>
              <w:t>GB/T13677.1—2015</w:t>
            </w:r>
            <w:r>
              <w:rPr>
                <w:sz w:val="20"/>
              </w:rPr>
              <w:t>、</w:t>
            </w:r>
            <w:r w:rsidRPr="0092551C">
              <w:rPr>
                <w:rFonts w:hint="eastAsia"/>
                <w:sz w:val="20"/>
              </w:rPr>
              <w:t>钢制书架第</w:t>
            </w:r>
            <w:r w:rsidRPr="0092551C">
              <w:rPr>
                <w:rFonts w:hint="eastAsia"/>
                <w:sz w:val="20"/>
              </w:rPr>
              <w:t>3</w:t>
            </w:r>
            <w:r w:rsidRPr="0092551C">
              <w:rPr>
                <w:rFonts w:hint="eastAsia"/>
                <w:sz w:val="20"/>
              </w:rPr>
              <w:t>部分：手动密集书架</w:t>
            </w:r>
            <w:r w:rsidRPr="0092551C">
              <w:rPr>
                <w:sz w:val="20"/>
              </w:rPr>
              <w:t>GB/T13677.3—2013</w:t>
            </w:r>
            <w:r>
              <w:rPr>
                <w:sz w:val="20"/>
              </w:rPr>
              <w:t>、</w:t>
            </w:r>
            <w:r w:rsidRPr="0092551C">
              <w:rPr>
                <w:rFonts w:hint="eastAsia"/>
                <w:sz w:val="20"/>
              </w:rPr>
              <w:t>钢制书架第</w:t>
            </w:r>
            <w:r w:rsidRPr="0092551C">
              <w:rPr>
                <w:rFonts w:hint="eastAsia"/>
                <w:sz w:val="20"/>
              </w:rPr>
              <w:t>4</w:t>
            </w:r>
            <w:r w:rsidRPr="0092551C">
              <w:rPr>
                <w:rFonts w:hint="eastAsia"/>
                <w:sz w:val="20"/>
              </w:rPr>
              <w:t>部分：电动密集书架</w:t>
            </w:r>
            <w:r w:rsidRPr="0092551C">
              <w:rPr>
                <w:sz w:val="20"/>
              </w:rPr>
              <w:t>GB/T13677.4—2013</w:t>
            </w:r>
            <w:r>
              <w:rPr>
                <w:sz w:val="20"/>
              </w:rPr>
              <w:t>、</w:t>
            </w:r>
            <w:r w:rsidRPr="00685693">
              <w:rPr>
                <w:rFonts w:hint="eastAsia"/>
                <w:sz w:val="20"/>
              </w:rPr>
              <w:t xml:space="preserve">GBT 13667.3-2013 </w:t>
            </w:r>
            <w:r w:rsidRPr="00685693">
              <w:rPr>
                <w:rFonts w:hint="eastAsia"/>
                <w:sz w:val="20"/>
              </w:rPr>
              <w:t>钢制书架第</w:t>
            </w:r>
            <w:r w:rsidRPr="00685693">
              <w:rPr>
                <w:rFonts w:hint="eastAsia"/>
                <w:sz w:val="20"/>
              </w:rPr>
              <w:t>3</w:t>
            </w:r>
            <w:r w:rsidRPr="00685693">
              <w:rPr>
                <w:rFonts w:hint="eastAsia"/>
                <w:sz w:val="20"/>
              </w:rPr>
              <w:t>部分：手动密集书架</w:t>
            </w:r>
            <w:r>
              <w:rPr>
                <w:rFonts w:hint="eastAsia"/>
                <w:sz w:val="20"/>
              </w:rPr>
              <w:t>、</w:t>
            </w:r>
            <w:r w:rsidRPr="0092551C">
              <w:rPr>
                <w:rFonts w:hint="eastAsia"/>
                <w:sz w:val="20"/>
              </w:rPr>
              <w:t>钢制书柜、资料柜通用技术条件</w:t>
            </w:r>
            <w:r>
              <w:rPr>
                <w:rFonts w:hint="eastAsia"/>
                <w:sz w:val="20"/>
              </w:rPr>
              <w:t>、</w:t>
            </w:r>
            <w:r w:rsidRPr="00685693">
              <w:rPr>
                <w:rFonts w:hint="eastAsia"/>
                <w:sz w:val="20"/>
              </w:rPr>
              <w:t>防盗保险柜</w:t>
            </w:r>
            <w:r w:rsidRPr="00685693">
              <w:rPr>
                <w:rFonts w:hint="eastAsia"/>
                <w:sz w:val="20"/>
              </w:rPr>
              <w:t>GB 10409-20</w:t>
            </w:r>
            <w:r>
              <w:rPr>
                <w:rFonts w:hint="eastAsia"/>
                <w:sz w:val="20"/>
              </w:rPr>
              <w:t>19</w:t>
            </w:r>
            <w:r>
              <w:rPr>
                <w:rFonts w:hint="eastAsia"/>
                <w:sz w:val="20"/>
              </w:rPr>
              <w:t>；</w:t>
            </w:r>
            <w:r w:rsidRPr="0092551C">
              <w:rPr>
                <w:sz w:val="20"/>
              </w:rPr>
              <w:t>GB/T13668-2015</w:t>
            </w:r>
            <w:r>
              <w:rPr>
                <w:sz w:val="20"/>
              </w:rPr>
              <w:t>、</w:t>
            </w:r>
            <w:r w:rsidRPr="0092551C">
              <w:rPr>
                <w:rFonts w:hint="eastAsia"/>
                <w:sz w:val="20"/>
              </w:rPr>
              <w:t>金库门通用技术条件</w:t>
            </w:r>
            <w:r w:rsidRPr="0092551C">
              <w:rPr>
                <w:sz w:val="20"/>
              </w:rPr>
              <w:t>GA/T143—1996</w:t>
            </w:r>
            <w:r>
              <w:rPr>
                <w:sz w:val="20"/>
              </w:rPr>
              <w:t>、</w:t>
            </w:r>
            <w:r w:rsidRPr="0092551C">
              <w:rPr>
                <w:rFonts w:hint="eastAsia"/>
                <w:sz w:val="20"/>
              </w:rPr>
              <w:t>金库门</w:t>
            </w:r>
            <w:r w:rsidRPr="0092551C">
              <w:rPr>
                <w:sz w:val="20"/>
              </w:rPr>
              <w:t>JR/T 0001-2000</w:t>
            </w:r>
            <w:r>
              <w:rPr>
                <w:sz w:val="20"/>
              </w:rPr>
              <w:t>、</w:t>
            </w:r>
            <w:r>
              <w:rPr>
                <w:rFonts w:hint="eastAsia"/>
                <w:sz w:val="20"/>
              </w:rPr>
              <w:t>钢制文件储物柜（架）技术要求及试验方法</w:t>
            </w:r>
            <w:r>
              <w:rPr>
                <w:rFonts w:hint="eastAsia"/>
                <w:sz w:val="20"/>
              </w:rPr>
              <w:t>GB/T28200-2011</w:t>
            </w:r>
            <w:r>
              <w:rPr>
                <w:rFonts w:hint="eastAsia"/>
                <w:sz w:val="20"/>
              </w:rPr>
              <w:t>；</w:t>
            </w:r>
            <w:r>
              <w:rPr>
                <w:sz w:val="20"/>
              </w:rPr>
              <w:t xml:space="preserve"> </w:t>
            </w:r>
          </w:p>
        </w:tc>
      </w:tr>
      <w:tr w:rsidR="00E0300F" w:rsidTr="008118E1">
        <w:trPr>
          <w:cantSplit/>
          <w:trHeight w:val="958"/>
          <w:jc w:val="center"/>
        </w:trPr>
        <w:tc>
          <w:tcPr>
            <w:tcW w:w="2004" w:type="dxa"/>
            <w:gridSpan w:val="2"/>
            <w:tcBorders>
              <w:left w:val="single" w:sz="4" w:space="0" w:color="auto"/>
            </w:tcBorders>
            <w:vAlign w:val="center"/>
          </w:tcPr>
          <w:p w:rsidR="00E0300F" w:rsidRDefault="00E0300F" w:rsidP="008118E1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 w:rsidR="00BA5523" w:rsidRPr="00BA5523">
              <w:rPr>
                <w:b/>
                <w:noProof/>
                <w:sz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3075" type="#_x0000_t75" style="position:absolute;margin-left:3.45pt;margin-top:5.05pt;width:69.95pt;height:32.25pt;z-index:251662336;mso-position-horizontal-relative:text;mso-position-vertical-relative:text">
                  <v:imagedata r:id="rId7" o:title="未标题-1"/>
                </v:shape>
              </w:pic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277" w:type="dxa"/>
            <w:gridSpan w:val="7"/>
            <w:vAlign w:val="center"/>
          </w:tcPr>
          <w:p w:rsidR="00E0300F" w:rsidRDefault="00E0300F" w:rsidP="008118E1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sz w:val="20"/>
              </w:rPr>
              <w:t>检验外观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、性能，</w:t>
            </w:r>
            <w:r>
              <w:rPr>
                <w:rFonts w:hint="eastAsia"/>
                <w:b/>
                <w:sz w:val="20"/>
              </w:rPr>
              <w:t>有型式试验要求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E0300F" w:rsidTr="00E0300F">
        <w:trPr>
          <w:cantSplit/>
          <w:trHeight w:val="790"/>
          <w:jc w:val="center"/>
        </w:trPr>
        <w:tc>
          <w:tcPr>
            <w:tcW w:w="2004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0300F" w:rsidRDefault="00E0300F" w:rsidP="008118E1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277" w:type="dxa"/>
            <w:gridSpan w:val="7"/>
            <w:tcBorders>
              <w:bottom w:val="single" w:sz="8" w:space="0" w:color="auto"/>
            </w:tcBorders>
            <w:vAlign w:val="center"/>
          </w:tcPr>
          <w:p w:rsidR="00E0300F" w:rsidRDefault="00E0300F" w:rsidP="008118E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E0300F" w:rsidRDefault="00BA5523">
      <w:pPr>
        <w:snapToGrid w:val="0"/>
        <w:rPr>
          <w:rFonts w:ascii="宋体" w:hint="eastAsia"/>
          <w:b/>
          <w:sz w:val="22"/>
          <w:szCs w:val="22"/>
        </w:rPr>
      </w:pPr>
      <w:r>
        <w:rPr>
          <w:rFonts w:ascii="宋体" w:hAnsi="宋体"/>
          <w:b/>
          <w:noProof/>
          <w:sz w:val="20"/>
        </w:rPr>
        <w:pict>
          <v:shape id="_x0000_s3076" type="#_x0000_t75" style="position:absolute;left:0;text-align:left;margin-left:319.55pt;margin-top:9.5pt;width:46.15pt;height:28.35pt;z-index:251663360;mso-position-horizontal-relative:text;mso-position-vertical-relative:text">
            <v:imagedata r:id="rId8" o:title="文波-1"/>
          </v:shape>
        </w:pict>
      </w:r>
      <w:r w:rsidRPr="00BA5523">
        <w:rPr>
          <w:rFonts w:ascii="宋体" w:hAnsi="宋体"/>
          <w:b/>
          <w:noProof/>
          <w:sz w:val="20"/>
        </w:rPr>
        <w:pict>
          <v:shape id="_x0000_s3074" type="#_x0000_t75" style="position:absolute;left:0;text-align:left;margin-left:101.7pt;margin-top:9.5pt;width:46.15pt;height:28.35pt;z-index:251660288;mso-position-horizontal-relative:text;mso-position-vertical-relative:text">
            <v:imagedata r:id="rId8" o:title="文波-1"/>
          </v:shape>
        </w:pict>
      </w:r>
    </w:p>
    <w:p w:rsidR="00BF25A4" w:rsidRDefault="00D3160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 w:hint="eastAsia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 w:hint="eastAsia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E0300F">
        <w:rPr>
          <w:rFonts w:ascii="宋体" w:hint="eastAsia"/>
          <w:b/>
          <w:sz w:val="18"/>
          <w:szCs w:val="18"/>
        </w:rPr>
        <w:t xml:space="preserve">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A5523">
        <w:rPr>
          <w:rFonts w:hint="eastAsia"/>
          <w:b/>
          <w:sz w:val="18"/>
          <w:szCs w:val="18"/>
        </w:rPr>
        <w:t xml:space="preserve">2021-4-1  </w:t>
      </w:r>
      <w:r>
        <w:rPr>
          <w:rFonts w:ascii="宋体" w:hint="eastAsia"/>
          <w:b/>
          <w:sz w:val="22"/>
          <w:szCs w:val="22"/>
        </w:rPr>
        <w:t xml:space="preserve">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A5523">
        <w:rPr>
          <w:rFonts w:hint="eastAsia"/>
          <w:b/>
          <w:sz w:val="18"/>
          <w:szCs w:val="18"/>
        </w:rPr>
        <w:t>2021-4-1</w:t>
      </w:r>
    </w:p>
    <w:p w:rsidR="00BF25A4" w:rsidRDefault="00D31601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 w:rsidRDefault="00D3160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BF25A4" w:rsidSect="00632E1D">
      <w:headerReference w:type="default" r:id="rId9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1601" w:rsidRDefault="00D31601" w:rsidP="00967BDB">
      <w:r>
        <w:separator/>
      </w:r>
    </w:p>
  </w:endnote>
  <w:endnote w:type="continuationSeparator" w:id="1">
    <w:p w:rsidR="00D31601" w:rsidRDefault="00D31601" w:rsidP="00967B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1601" w:rsidRDefault="00D31601" w:rsidP="00967BDB">
      <w:r>
        <w:separator/>
      </w:r>
    </w:p>
  </w:footnote>
  <w:footnote w:type="continuationSeparator" w:id="1">
    <w:p w:rsidR="00D31601" w:rsidRDefault="00D31601" w:rsidP="00967BD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RDefault="00D31601" w:rsidP="00E0300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RDefault="00967BDB" w:rsidP="00E0300F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632E1D" w:rsidRPr="000B51BD" w:rsidRDefault="00D31601" w:rsidP="00E0300F">
                <w:pPr>
                  <w:ind w:firstLineChars="200" w:firstLine="36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31601" w:rsidRPr="00390345">
      <w:rPr>
        <w:rStyle w:val="CharChar1"/>
        <w:rFonts w:hint="default"/>
        <w:w w:val="90"/>
      </w:rPr>
      <w:t>Beijing International Standard united Certification Co.,Ltd.</w:t>
    </w:r>
  </w:p>
  <w:p w:rsidR="00632E1D" w:rsidRDefault="00967BDB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7BDB"/>
    <w:rsid w:val="00967BDB"/>
    <w:rsid w:val="00BA5523"/>
    <w:rsid w:val="00D31601"/>
    <w:rsid w:val="00E030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187</Words>
  <Characters>1071</Characters>
  <Application>Microsoft Office Word</Application>
  <DocSecurity>0</DocSecurity>
  <Lines>8</Lines>
  <Paragraphs>2</Paragraphs>
  <ScaleCrop>false</ScaleCrop>
  <Company>微软中国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18</cp:revision>
  <dcterms:created xsi:type="dcterms:W3CDTF">2015-06-17T11:40:00Z</dcterms:created>
  <dcterms:modified xsi:type="dcterms:W3CDTF">2021-04-01T04:59:00Z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