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drawing>
          <wp:anchor distT="0" distB="0" distL="114300" distR="114300" simplePos="0" relativeHeight="251658240"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wp:start x="21592" y="-2"/>
                <wp:lineTo x="0" y="0"/>
                <wp:lineTo x="0" y="21600"/>
                <wp:lineTo x="21592" y="21602"/>
                <wp:lineTo x="8" y="21602"/>
                <wp:lineTo x="21600" y="21600"/>
                <wp:lineTo x="21600" y="0"/>
                <wp:lineTo x="8" y="-2"/>
                <wp:lineTo x="21592" y="-2"/>
              </wp:wrapPolygon>
            </wp:wrapTight>
            <wp:docPr id="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4"/>
                    <pic:cNvPicPr>
                      <a:picLocks noChangeAspect="1"/>
                    </pic:cNvPicPr>
                  </pic:nvPicPr>
                  <pic:blipFill>
                    <a:blip r:embed="rId5"/>
                    <a:stretch>
                      <a:fillRect/>
                    </a:stretch>
                  </pic:blipFill>
                  <pic:spPr>
                    <a:xfrm>
                      <a:off x="0" y="0"/>
                      <a:ext cx="1724025" cy="1490345"/>
                    </a:xfrm>
                    <a:prstGeom prst="rect">
                      <a:avLst/>
                    </a:prstGeom>
                    <a:noFill/>
                    <a:ln>
                      <a:noFill/>
                    </a:ln>
                  </pic:spPr>
                </pic:pic>
              </a:graphicData>
            </a:graphic>
          </wp:anchor>
        </w:drawing>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受审核方：盐城华远石油机械有限公司</w:t>
      </w:r>
      <w:bookmarkStart w:id="27" w:name="_GoBack"/>
      <w:bookmarkEnd w:id="27"/>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2018-N1QMS-1222792</w:t>
            </w:r>
          </w:p>
          <w:p>
            <w:pPr>
              <w:jc w:val="center"/>
              <w:rPr>
                <w:b/>
                <w:sz w:val="21"/>
                <w:szCs w:val="21"/>
              </w:rPr>
            </w:pPr>
            <w:r>
              <w:rPr>
                <w:b/>
                <w:sz w:val="21"/>
                <w:szCs w:val="21"/>
              </w:rPr>
              <w:t>2018-N1EMS-1222792</w:t>
            </w:r>
          </w:p>
          <w:p>
            <w:pPr>
              <w:jc w:val="center"/>
              <w:rPr>
                <w:b/>
                <w:sz w:val="21"/>
                <w:szCs w:val="21"/>
              </w:rPr>
            </w:pPr>
            <w:r>
              <w:rPr>
                <w:b/>
                <w:sz w:val="21"/>
                <w:szCs w:val="21"/>
              </w:rPr>
              <w:t>2018-N1OHSMS-1222792</w:t>
            </w:r>
          </w:p>
        </w:tc>
        <w:tc>
          <w:tcPr>
            <w:tcW w:w="1728" w:type="dxa"/>
            <w:gridSpan w:val="2"/>
            <w:vAlign w:val="center"/>
          </w:tcPr>
          <w:p>
            <w:pPr>
              <w:jc w:val="center"/>
              <w:rPr>
                <w:b/>
                <w:sz w:val="21"/>
                <w:szCs w:val="21"/>
              </w:rPr>
            </w:pPr>
            <w:r>
              <w:rPr>
                <w:b/>
                <w:sz w:val="21"/>
                <w:szCs w:val="21"/>
              </w:rPr>
              <w:t>Q:17.10.02,18.01.02,18.01.03,19.05.01</w:t>
            </w:r>
          </w:p>
          <w:p>
            <w:pPr>
              <w:jc w:val="center"/>
              <w:rPr>
                <w:b/>
                <w:sz w:val="21"/>
                <w:szCs w:val="21"/>
              </w:rPr>
            </w:pPr>
            <w:r>
              <w:rPr>
                <w:b/>
                <w:sz w:val="21"/>
                <w:szCs w:val="21"/>
              </w:rPr>
              <w:t>E:17.10.02,18.01.02,18.01.03,19.05.01</w:t>
            </w:r>
          </w:p>
          <w:p>
            <w:pPr>
              <w:jc w:val="center"/>
              <w:rPr>
                <w:b/>
                <w:sz w:val="21"/>
                <w:szCs w:val="21"/>
              </w:rPr>
            </w:pPr>
            <w:r>
              <w:rPr>
                <w:b/>
                <w:sz w:val="21"/>
                <w:szCs w:val="21"/>
              </w:rPr>
              <w:t>O:17.10.02,18.01.02,18.01.03,19.05.01</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郭力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2021-N1QMS-1263290</w:t>
            </w:r>
          </w:p>
          <w:p>
            <w:pPr>
              <w:jc w:val="center"/>
              <w:rPr>
                <w:b/>
                <w:sz w:val="21"/>
                <w:szCs w:val="21"/>
              </w:rPr>
            </w:pPr>
            <w:r>
              <w:rPr>
                <w:b/>
                <w:sz w:val="21"/>
                <w:szCs w:val="21"/>
              </w:rPr>
              <w:t>2020-N1EMS-1263290</w:t>
            </w:r>
          </w:p>
        </w:tc>
        <w:tc>
          <w:tcPr>
            <w:tcW w:w="1728" w:type="dxa"/>
            <w:gridSpan w:val="2"/>
            <w:vAlign w:val="center"/>
          </w:tcPr>
          <w:p>
            <w:pPr>
              <w:jc w:val="center"/>
              <w:rPr>
                <w:b/>
                <w:sz w:val="21"/>
                <w:szCs w:val="21"/>
              </w:rPr>
            </w:pPr>
            <w:r>
              <w:rPr>
                <w:b/>
                <w:sz w:val="21"/>
                <w:szCs w:val="21"/>
              </w:rPr>
              <w:t>Q:17.10.02</w:t>
            </w:r>
          </w:p>
          <w:p>
            <w:pPr>
              <w:jc w:val="center"/>
              <w:rPr>
                <w:b/>
                <w:sz w:val="21"/>
                <w:szCs w:val="21"/>
              </w:rPr>
            </w:pPr>
            <w:r>
              <w:rPr>
                <w:b/>
                <w:sz w:val="21"/>
                <w:szCs w:val="21"/>
              </w:rPr>
              <w:t>E:17.10.02</w:t>
            </w:r>
          </w:p>
        </w:tc>
        <w:tc>
          <w:tcPr>
            <w:tcW w:w="1729" w:type="dxa"/>
            <w:gridSpan w:val="2"/>
            <w:vAlign w:val="center"/>
          </w:tcPr>
          <w:p>
            <w:pPr>
              <w:jc w:val="center"/>
              <w:rPr>
                <w:b/>
                <w:sz w:val="21"/>
                <w:szCs w:val="21"/>
              </w:rPr>
            </w:pPr>
            <w:r>
              <w:rPr>
                <w:b/>
                <w:sz w:val="21"/>
                <w:szCs w:val="21"/>
              </w:rPr>
              <w:t>ISC[S]0372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w:t>
      </w:r>
      <w:r>
        <w:rPr>
          <w:rFonts w:hint="eastAsia" w:ascii="宋体" w:hAnsi="宋体"/>
          <w:b/>
          <w:bCs/>
          <w:sz w:val="20"/>
          <w:u w:val="single"/>
        </w:rPr>
        <w:t>验证组织管理体系是否持续有效运行，以确定是否推荐保持认证注册资格</w:t>
      </w:r>
      <w:r>
        <w:rPr>
          <w:rFonts w:hint="eastAsia" w:ascii="宋体" w:hAnsi="宋体"/>
          <w:b/>
          <w:bCs/>
          <w:sz w:val="20"/>
          <w:u w:val="single"/>
          <w:lang w:eastAsia="zh-CN"/>
        </w:rPr>
        <w:t>。</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盐城华远石油机械有限公司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江苏省盐城市盐都大冈镇卧龙西路88号</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224042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江苏省盐城市盐都大冈镇卧龙西路88号</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224042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江苏省盐城市盐都大冈镇卧龙西路88号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224042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刘敬钦</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18751452899</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王传荣</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王传荣</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刘敬钦</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2021年03月21日 下午至2021年03月23日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b/>
                <w:color w:val="000000" w:themeColor="text1"/>
                <w:sz w:val="22"/>
                <w:szCs w:val="22"/>
              </w:rPr>
              <w:t>抽油泵（节能环保抽油泵，耐磨防腐抽油泵，防砂抽油泵、螺杆式抽油泵，整筒式抽油泵）及配件，螺杆钻具、螺杆泵驱动装置及专用变频控制柜</w:t>
            </w:r>
            <w:r>
              <w:rPr>
                <w:rFonts w:hint="eastAsia"/>
                <w:b/>
                <w:color w:val="000000" w:themeColor="text1"/>
                <w:sz w:val="22"/>
                <w:szCs w:val="22"/>
                <w:lang w:eastAsia="zh-CN"/>
              </w:rPr>
              <w:t>、</w:t>
            </w:r>
            <w:r>
              <w:rPr>
                <w:rFonts w:hint="eastAsia"/>
                <w:b/>
                <w:color w:val="000000" w:themeColor="text1"/>
                <w:sz w:val="22"/>
                <w:szCs w:val="22"/>
              </w:rPr>
              <w:t>钻采配件生产</w:t>
            </w:r>
            <w:r>
              <w:rPr>
                <w:rFonts w:hint="eastAsia"/>
                <w:b/>
                <w:color w:val="000000" w:themeColor="text1"/>
                <w:sz w:val="22"/>
                <w:szCs w:val="22"/>
                <w:lang w:val="en-US" w:eastAsia="zh-CN"/>
              </w:rPr>
              <w:t>.</w:t>
            </w:r>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eastAsia="宋体"/>
                <w:b/>
                <w:sz w:val="21"/>
                <w:szCs w:val="21"/>
                <w:lang w:eastAsia="zh-CN"/>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rFonts w:hint="eastAsia"/>
                <w:b/>
                <w:color w:val="000000" w:themeColor="text1"/>
                <w:sz w:val="22"/>
                <w:szCs w:val="22"/>
              </w:rPr>
              <w:t>抽油泵（节能环保抽油泵，耐磨防腐抽油泵，防砂抽油泵、螺杆式抽油泵，整筒式抽油泵）及配件，螺杆</w:t>
            </w:r>
            <w:r>
              <w:rPr>
                <w:rFonts w:hint="eastAsia" w:ascii="Times New Roman" w:hAnsi="Times New Roman" w:eastAsia="宋体" w:cs="Times New Roman"/>
                <w:b/>
                <w:color w:val="000000" w:themeColor="text1"/>
                <w:sz w:val="22"/>
                <w:szCs w:val="22"/>
              </w:rPr>
              <w:t>钻具、螺杆泵驱动装置及专用变频控制柜</w:t>
            </w:r>
            <w:r>
              <w:rPr>
                <w:rFonts w:hint="eastAsia" w:ascii="Times New Roman" w:hAnsi="Times New Roman" w:eastAsia="宋体" w:cs="Times New Roman"/>
                <w:b/>
                <w:color w:val="000000" w:themeColor="text1"/>
                <w:sz w:val="22"/>
                <w:szCs w:val="22"/>
                <w:lang w:eastAsia="zh-CN"/>
              </w:rPr>
              <w:t>、</w:t>
            </w:r>
            <w:r>
              <w:rPr>
                <w:rFonts w:hint="eastAsia" w:ascii="Times New Roman" w:hAnsi="Times New Roman" w:eastAsia="宋体" w:cs="Times New Roman"/>
                <w:b/>
                <w:color w:val="000000" w:themeColor="text1"/>
                <w:sz w:val="22"/>
                <w:szCs w:val="22"/>
              </w:rPr>
              <w:t>钻采配件生产及其所涉及场所的相关管理活动</w:t>
            </w:r>
            <w:r>
              <w:rPr>
                <w:rFonts w:hint="eastAsia" w:ascii="Times New Roman" w:hAnsi="Times New Roman" w:eastAsia="宋体" w:cs="Times New Roman"/>
                <w:b/>
                <w:color w:val="000000" w:themeColor="text1"/>
                <w:sz w:val="22"/>
                <w:szCs w:val="22"/>
                <w:lang w:eastAsia="zh-CN"/>
              </w:rPr>
              <w:t>。</w:t>
            </w:r>
          </w:p>
          <w:p>
            <w:pPr>
              <w:spacing w:line="360" w:lineRule="exact"/>
              <w:rPr>
                <w:rFonts w:hint="eastAsia" w:ascii="宋体" w:hAnsi="宋体" w:eastAsia="宋体"/>
                <w:b/>
                <w:sz w:val="21"/>
                <w:szCs w:val="21"/>
                <w:lang w:eastAsia="zh-CN"/>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rFonts w:hint="eastAsia"/>
                <w:b/>
                <w:color w:val="000000" w:themeColor="text1"/>
                <w:sz w:val="22"/>
                <w:szCs w:val="22"/>
              </w:rPr>
              <w:t>抽油泵（节能环保抽油泵，耐磨防腐抽油泵，防砂抽油泵、螺杆式抽油泵，整筒式抽油泵）及配</w:t>
            </w:r>
            <w:r>
              <w:rPr>
                <w:rFonts w:hint="eastAsia" w:ascii="Times New Roman" w:hAnsi="Times New Roman" w:eastAsia="宋体" w:cs="Times New Roman"/>
                <w:b/>
                <w:color w:val="000000" w:themeColor="text1"/>
                <w:sz w:val="22"/>
                <w:szCs w:val="22"/>
              </w:rPr>
              <w:t>件，螺杆钻具、螺杆泵驱动装置及专用变频控制柜</w:t>
            </w:r>
            <w:r>
              <w:rPr>
                <w:rFonts w:hint="eastAsia" w:ascii="Times New Roman" w:hAnsi="Times New Roman" w:eastAsia="宋体" w:cs="Times New Roman"/>
                <w:b/>
                <w:color w:val="000000" w:themeColor="text1"/>
                <w:sz w:val="22"/>
                <w:szCs w:val="22"/>
                <w:lang w:eastAsia="zh-CN"/>
              </w:rPr>
              <w:t>、</w:t>
            </w:r>
            <w:r>
              <w:rPr>
                <w:rFonts w:hint="eastAsia" w:ascii="Times New Roman" w:hAnsi="Times New Roman" w:eastAsia="宋体" w:cs="Times New Roman"/>
                <w:b/>
                <w:color w:val="000000" w:themeColor="text1"/>
                <w:sz w:val="22"/>
                <w:szCs w:val="22"/>
              </w:rPr>
              <w:t>钻采配件生产及其所涉及场所的相关管理活动</w:t>
            </w:r>
            <w:r>
              <w:rPr>
                <w:rFonts w:hint="eastAsia" w:ascii="Times New Roman" w:hAnsi="Times New Roman" w:eastAsia="宋体" w:cs="Times New Roman"/>
                <w:b/>
                <w:color w:val="000000" w:themeColor="text1"/>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r>
              <w:rPr>
                <w:rFonts w:hint="eastAsia"/>
                <w:b/>
                <w:color w:val="000000" w:themeColor="text1"/>
                <w:sz w:val="22"/>
                <w:szCs w:val="22"/>
              </w:rPr>
              <w:t>抽油泵（节能环保抽油泵，耐磨防腐抽油泵，防砂抽油泵、螺杆式抽油泵，整筒式抽油泵）及配件，螺杆钻具、螺杆泵驱动装置及专用变频控制柜</w:t>
            </w:r>
            <w:r>
              <w:rPr>
                <w:rFonts w:hint="eastAsia"/>
                <w:b/>
                <w:color w:val="000000" w:themeColor="text1"/>
                <w:sz w:val="22"/>
                <w:szCs w:val="22"/>
                <w:lang w:eastAsia="zh-CN"/>
              </w:rPr>
              <w:t>、</w:t>
            </w:r>
            <w:r>
              <w:rPr>
                <w:rFonts w:hint="eastAsia"/>
                <w:b/>
                <w:color w:val="000000" w:themeColor="text1"/>
                <w:sz w:val="22"/>
                <w:szCs w:val="22"/>
              </w:rPr>
              <w:t>钻采配件生产</w:t>
            </w:r>
            <w:r>
              <w:rPr>
                <w:rFonts w:hint="eastAsia"/>
                <w:b/>
                <w:color w:val="000000" w:themeColor="text1"/>
                <w:sz w:val="22"/>
                <w:szCs w:val="22"/>
                <w:lang w:eastAsia="zh-CN"/>
              </w:rPr>
              <w:t>。</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Q：17.10.02;18.01.02;18.01.03;19.05.01</w:t>
            </w:r>
          </w:p>
          <w:p>
            <w:pPr>
              <w:spacing w:line="260" w:lineRule="exact"/>
              <w:rPr>
                <w:rFonts w:ascii="宋体" w:hAnsi="宋体"/>
                <w:b/>
                <w:sz w:val="21"/>
                <w:szCs w:val="21"/>
              </w:rPr>
            </w:pPr>
            <w:r>
              <w:rPr>
                <w:rFonts w:ascii="宋体" w:hAnsi="宋体"/>
                <w:b/>
                <w:sz w:val="21"/>
                <w:szCs w:val="21"/>
              </w:rPr>
              <w:t>E：17.10.02;18.01.02;18.01.03;19.05.01</w:t>
            </w:r>
          </w:p>
          <w:p>
            <w:pPr>
              <w:spacing w:line="260" w:lineRule="exact"/>
              <w:rPr>
                <w:rFonts w:ascii="宋体" w:hAnsi="宋体"/>
                <w:b/>
                <w:sz w:val="21"/>
                <w:szCs w:val="21"/>
              </w:rPr>
            </w:pPr>
            <w:r>
              <w:rPr>
                <w:rFonts w:ascii="宋体" w:hAnsi="宋体"/>
                <w:b/>
                <w:sz w:val="21"/>
                <w:szCs w:val="21"/>
              </w:rPr>
              <w:t>O：17.10.02;18.01.02;18.01.03;19.05.01</w:t>
            </w:r>
            <w:bookmarkEnd w:id="26"/>
          </w:p>
        </w:tc>
        <w:tc>
          <w:tcPr>
            <w:tcW w:w="1109" w:type="dxa"/>
            <w:vAlign w:val="center"/>
          </w:tcPr>
          <w:p>
            <w:pPr>
              <w:spacing w:line="260" w:lineRule="exact"/>
              <w:jc w:val="center"/>
              <w:rPr>
                <w:rFonts w:hint="eastAsia" w:ascii="宋体" w:hAnsi="宋体" w:eastAsia="宋体" w:cs="Times New Roman"/>
                <w:b/>
                <w:sz w:val="21"/>
                <w:szCs w:val="21"/>
              </w:rPr>
            </w:pPr>
            <w:r>
              <w:rPr>
                <w:rFonts w:hint="eastAsia" w:ascii="宋体" w:hAnsi="宋体" w:eastAsia="宋体" w:cs="Times New Roman"/>
                <w:b/>
                <w:sz w:val="21"/>
                <w:szCs w:val="21"/>
              </w:rPr>
              <w:t>证书有</w:t>
            </w:r>
          </w:p>
          <w:p>
            <w:pPr>
              <w:spacing w:line="260" w:lineRule="exact"/>
              <w:jc w:val="center"/>
              <w:rPr>
                <w:rFonts w:hint="eastAsia" w:ascii="宋体" w:hAnsi="宋体" w:eastAsia="宋体" w:cs="Times New Roman"/>
                <w:b/>
                <w:sz w:val="21"/>
                <w:szCs w:val="21"/>
              </w:rPr>
            </w:pPr>
            <w:r>
              <w:rPr>
                <w:rFonts w:hint="eastAsia" w:ascii="宋体" w:hAnsi="宋体" w:eastAsia="宋体" w:cs="Times New Roman"/>
                <w:b/>
                <w:sz w:val="21"/>
                <w:szCs w:val="21"/>
              </w:rPr>
              <w:t>效期</w:t>
            </w:r>
          </w:p>
        </w:tc>
        <w:tc>
          <w:tcPr>
            <w:tcW w:w="1618" w:type="dxa"/>
            <w:gridSpan w:val="2"/>
            <w:vAlign w:val="center"/>
          </w:tcPr>
          <w:p>
            <w:pPr>
              <w:spacing w:line="260" w:lineRule="exact"/>
              <w:jc w:val="center"/>
              <w:rPr>
                <w:rFonts w:hint="default"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2022.1.3</w:t>
            </w:r>
          </w:p>
        </w:tc>
        <w:tc>
          <w:tcPr>
            <w:tcW w:w="1672" w:type="dxa"/>
            <w:vAlign w:val="center"/>
          </w:tcPr>
          <w:p>
            <w:pPr>
              <w:spacing w:line="260" w:lineRule="exact"/>
              <w:jc w:val="center"/>
              <w:rPr>
                <w:rFonts w:hint="eastAsia" w:ascii="宋体" w:hAnsi="宋体" w:eastAsia="宋体" w:cs="Times New Roman"/>
                <w:b/>
                <w:sz w:val="21"/>
                <w:szCs w:val="21"/>
              </w:rPr>
            </w:pPr>
            <w:r>
              <w:rPr>
                <w:rFonts w:hint="eastAsia" w:ascii="宋体" w:hAnsi="宋体" w:eastAsia="宋体" w:cs="Times New Roman"/>
                <w:b/>
                <w:sz w:val="21"/>
                <w:szCs w:val="21"/>
              </w:rPr>
              <w:t>上年度</w:t>
            </w:r>
          </w:p>
          <w:p>
            <w:pPr>
              <w:spacing w:line="260" w:lineRule="exact"/>
              <w:jc w:val="center"/>
              <w:rPr>
                <w:rFonts w:hint="eastAsia" w:ascii="宋体" w:hAnsi="宋体" w:eastAsia="宋体" w:cs="Times New Roman"/>
                <w:b/>
                <w:sz w:val="21"/>
                <w:szCs w:val="21"/>
              </w:rPr>
            </w:pPr>
            <w:r>
              <w:rPr>
                <w:rFonts w:hint="eastAsia" w:ascii="宋体" w:hAnsi="宋体" w:eastAsia="宋体" w:cs="Times New Roman"/>
                <w:b/>
                <w:sz w:val="21"/>
                <w:szCs w:val="21"/>
              </w:rPr>
              <w:t>审核日期</w:t>
            </w:r>
          </w:p>
        </w:tc>
        <w:tc>
          <w:tcPr>
            <w:tcW w:w="1500" w:type="dxa"/>
          </w:tcPr>
          <w:p>
            <w:pPr>
              <w:spacing w:line="260" w:lineRule="exact"/>
              <w:jc w:val="center"/>
              <w:rPr>
                <w:rFonts w:hint="eastAsia" w:ascii="宋体" w:hAnsi="宋体" w:eastAsia="宋体" w:cs="Times New Roman"/>
                <w:b/>
                <w:sz w:val="21"/>
                <w:szCs w:val="21"/>
                <w:lang w:val="en-US" w:eastAsia="zh-CN"/>
              </w:rPr>
            </w:pPr>
          </w:p>
          <w:p>
            <w:pPr>
              <w:spacing w:line="260" w:lineRule="exact"/>
              <w:jc w:val="center"/>
              <w:rPr>
                <w:rFonts w:hint="eastAsia" w:ascii="宋体" w:hAnsi="宋体" w:eastAsia="宋体" w:cs="Times New Roman"/>
                <w:b/>
                <w:sz w:val="21"/>
                <w:szCs w:val="21"/>
                <w:lang w:val="en-US" w:eastAsia="zh-CN"/>
              </w:rPr>
            </w:pPr>
          </w:p>
          <w:p>
            <w:pPr>
              <w:spacing w:line="260" w:lineRule="exact"/>
              <w:jc w:val="center"/>
              <w:rPr>
                <w:rFonts w:hint="eastAsia" w:ascii="宋体" w:hAnsi="宋体" w:eastAsia="宋体" w:cs="Times New Roman"/>
                <w:b/>
                <w:sz w:val="21"/>
                <w:szCs w:val="21"/>
                <w:lang w:val="en-US" w:eastAsia="zh-CN"/>
              </w:rPr>
            </w:pPr>
          </w:p>
          <w:p>
            <w:pPr>
              <w:spacing w:line="260" w:lineRule="exact"/>
              <w:jc w:val="center"/>
              <w:rPr>
                <w:rFonts w:hint="eastAsia" w:ascii="宋体" w:hAnsi="宋体" w:eastAsia="宋体" w:cs="Times New Roman"/>
                <w:b/>
                <w:sz w:val="21"/>
                <w:szCs w:val="21"/>
                <w:lang w:val="en-US" w:eastAsia="zh-CN"/>
              </w:rPr>
            </w:pPr>
          </w:p>
          <w:p>
            <w:pPr>
              <w:spacing w:line="260" w:lineRule="exact"/>
              <w:jc w:val="center"/>
              <w:rPr>
                <w:rFonts w:hint="eastAsia" w:ascii="宋体" w:hAnsi="宋体" w:eastAsia="宋体" w:cs="Times New Roman"/>
                <w:b/>
                <w:sz w:val="21"/>
                <w:szCs w:val="21"/>
                <w:lang w:val="en-US" w:eastAsia="zh-CN"/>
              </w:rPr>
            </w:pPr>
          </w:p>
          <w:p>
            <w:pPr>
              <w:spacing w:line="260" w:lineRule="exact"/>
              <w:jc w:val="center"/>
              <w:rPr>
                <w:rFonts w:hint="default"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2020.1.10-11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hint="default" w:ascii="宋体" w:hAnsi="宋体" w:eastAsia="宋体"/>
          <w:b/>
          <w:sz w:val="21"/>
          <w:szCs w:val="21"/>
          <w:lang w:val="en-US" w:eastAsia="zh-CN"/>
        </w:rPr>
      </w:pPr>
      <w:r>
        <w:rPr>
          <w:rFonts w:hint="eastAsia" w:ascii="宋体" w:hAnsi="宋体"/>
          <w:b/>
          <w:sz w:val="21"/>
          <w:szCs w:val="21"/>
        </w:rPr>
        <w:sym w:font="Wingdings 2" w:char="0052"/>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r>
        <w:rPr>
          <w:rFonts w:hint="eastAsia" w:ascii="宋体" w:hAnsi="宋体"/>
          <w:b/>
          <w:sz w:val="21"/>
          <w:szCs w:val="21"/>
          <w:lang w:eastAsia="zh-CN"/>
        </w:rPr>
        <w:t>：</w:t>
      </w:r>
      <w:r>
        <w:rPr>
          <w:rFonts w:hint="eastAsia" w:ascii="宋体" w:hAnsi="宋体"/>
          <w:b/>
          <w:sz w:val="21"/>
          <w:szCs w:val="21"/>
          <w:lang w:val="en-US" w:eastAsia="zh-CN"/>
        </w:rPr>
        <w:t>螺杆钻具的生产及相关管理活动。</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24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numPr>
                <w:ilvl w:val="0"/>
                <w:numId w:val="1"/>
              </w:numPr>
              <w:kinsoku/>
              <w:wordWrap/>
              <w:overflowPunct/>
              <w:topLinePunct w:val="0"/>
              <w:autoSpaceDE/>
              <w:autoSpaceDN/>
              <w:bidi w:val="0"/>
              <w:adjustRightInd/>
              <w:snapToGrid/>
              <w:spacing w:line="320" w:lineRule="exact"/>
              <w:textAlignment w:val="auto"/>
              <w:rPr>
                <w:rFonts w:hint="eastAsia" w:ascii="宋体" w:hAnsi="宋体"/>
                <w:b/>
                <w:sz w:val="21"/>
                <w:szCs w:val="21"/>
              </w:rPr>
            </w:pPr>
            <w:r>
              <w:rPr>
                <w:rFonts w:hint="eastAsia" w:ascii="宋体" w:hAnsi="宋体"/>
                <w:b/>
                <w:sz w:val="21"/>
                <w:szCs w:val="21"/>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宋体" w:hAnsi="宋体"/>
                <w:b/>
                <w:sz w:val="21"/>
                <w:szCs w:val="21"/>
              </w:rPr>
            </w:pPr>
            <w:r>
              <w:rPr>
                <w:rFonts w:hint="eastAsia"/>
                <w:sz w:val="21"/>
                <w:szCs w:val="21"/>
              </w:rPr>
              <w:t>公司确定了与</w:t>
            </w:r>
            <w:r>
              <w:rPr>
                <w:rFonts w:hint="eastAsia"/>
                <w:sz w:val="21"/>
                <w:szCs w:val="21"/>
                <w:lang w:val="en-US" w:eastAsia="zh-CN"/>
              </w:rPr>
              <w:t>质量、环境、职业健康安全</w:t>
            </w:r>
            <w:r>
              <w:rPr>
                <w:rFonts w:hint="eastAsia"/>
                <w:sz w:val="21"/>
                <w:szCs w:val="21"/>
              </w:rPr>
              <w:t>管理体系有关的相关方包括顾客、政府机构、社区、股东、供应商、内部员工等。相关方对企业的要求有：遵守国家的现行法律法规、保持有效的资质、生产的产品环保，对环境无重大污染、量具定期检定、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val="en-US" w:eastAsia="zh-CN"/>
              </w:rPr>
              <w:t>环境、职业健康安全</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numPr>
                <w:ilvl w:val="0"/>
                <w:numId w:val="2"/>
              </w:numPr>
              <w:kinsoku/>
              <w:wordWrap/>
              <w:overflowPunct/>
              <w:topLinePunct w:val="0"/>
              <w:autoSpaceDE/>
              <w:autoSpaceDN/>
              <w:bidi w:val="0"/>
              <w:adjustRightInd/>
              <w:snapToGrid/>
              <w:spacing w:line="320" w:lineRule="exact"/>
              <w:textAlignment w:val="auto"/>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w:t>
            </w:r>
          </w:p>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eastAsia="宋体"/>
                <w:sz w:val="21"/>
                <w:szCs w:val="21"/>
                <w:lang w:eastAsia="zh-CN"/>
              </w:rPr>
            </w:pPr>
            <w:r>
              <w:rPr>
                <w:rFonts w:hint="eastAsia"/>
                <w:sz w:val="21"/>
                <w:szCs w:val="21"/>
                <w:lang w:val="en-US" w:eastAsia="zh-CN"/>
              </w:rPr>
              <w:t>1.</w:t>
            </w:r>
            <w:r>
              <w:rPr>
                <w:rFonts w:hint="eastAsia"/>
                <w:sz w:val="21"/>
                <w:szCs w:val="21"/>
              </w:rPr>
              <w:t>管理方针：质量精益求精，服务及时周到；实现污染预防，注重节能降耗；及时消除隐患，保障健康安全；遵守法律法规，坚持持续改进</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sz w:val="21"/>
                <w:szCs w:val="21"/>
              </w:rPr>
            </w:pPr>
            <w:r>
              <w:rPr>
                <w:rFonts w:hint="eastAsia"/>
                <w:sz w:val="21"/>
                <w:szCs w:val="21"/>
              </w:rPr>
              <w:t>2.管理方针与企业的经营宗旨相适应，协调一致；</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宋体" w:hAnsi="宋体"/>
                <w:b/>
                <w:sz w:val="21"/>
                <w:szCs w:val="21"/>
              </w:rPr>
            </w:pPr>
            <w:r>
              <w:rPr>
                <w:rFonts w:hint="eastAsia"/>
                <w:sz w:val="21"/>
                <w:szCs w:val="21"/>
              </w:rPr>
              <w:t>3.通过会议传达，沟通，让全体员工理解执行。并定期进行评审（一般一年一次）。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宋体" w:hAnsi="宋体"/>
                <w:b/>
                <w:sz w:val="21"/>
                <w:szCs w:val="21"/>
              </w:rPr>
            </w:pPr>
            <w:r>
              <w:rPr>
                <w:rFonts w:hint="eastAsia" w:ascii="Times New Roman" w:hAnsi="Times New Roman" w:cs="Times New Roman"/>
                <w:sz w:val="21"/>
                <w:szCs w:val="21"/>
                <w:u w:val="none"/>
              </w:rPr>
              <w:t>公司</w:t>
            </w:r>
            <w:r>
              <w:rPr>
                <w:rFonts w:hint="eastAsia" w:ascii="Times New Roman" w:hAnsi="Times New Roman" w:cs="Times New Roman"/>
                <w:sz w:val="21"/>
                <w:szCs w:val="21"/>
                <w:u w:val="none"/>
                <w:lang w:val="en-US" w:eastAsia="zh-CN"/>
              </w:rPr>
              <w:t>编制</w:t>
            </w:r>
            <w:r>
              <w:rPr>
                <w:rFonts w:hint="eastAsia" w:ascii="Times New Roman" w:hAnsi="Times New Roman" w:cs="Times New Roman"/>
                <w:sz w:val="21"/>
                <w:szCs w:val="21"/>
                <w:u w:val="none"/>
              </w:rPr>
              <w:t>《</w:t>
            </w:r>
            <w:r>
              <w:rPr>
                <w:rFonts w:hint="eastAsia"/>
                <w:sz w:val="21"/>
                <w:szCs w:val="21"/>
              </w:rPr>
              <w:t>风险</w:t>
            </w:r>
            <w:r>
              <w:rPr>
                <w:rFonts w:hint="eastAsia"/>
                <w:sz w:val="21"/>
                <w:szCs w:val="21"/>
                <w:lang w:val="en-US" w:eastAsia="zh-CN"/>
              </w:rPr>
              <w:t>和</w:t>
            </w:r>
            <w:r>
              <w:rPr>
                <w:rFonts w:hint="eastAsia"/>
                <w:sz w:val="21"/>
                <w:szCs w:val="21"/>
              </w:rPr>
              <w:t>机遇</w:t>
            </w:r>
            <w:r>
              <w:rPr>
                <w:rFonts w:hint="eastAsia"/>
                <w:sz w:val="21"/>
                <w:szCs w:val="21"/>
                <w:lang w:val="en-US" w:eastAsia="zh-CN"/>
              </w:rPr>
              <w:t>评估分析表</w:t>
            </w:r>
            <w:r>
              <w:rPr>
                <w:rFonts w:hint="eastAsia" w:ascii="Times New Roman" w:hAnsi="Times New Roman" w:cs="Times New Roman"/>
                <w:sz w:val="21"/>
                <w:szCs w:val="21"/>
                <w:u w:val="none"/>
              </w:rPr>
              <w:t>》，公司</w:t>
            </w:r>
            <w:r>
              <w:rPr>
                <w:rFonts w:hint="eastAsia" w:ascii="Times New Roman" w:hAnsi="Times New Roman" w:cs="Times New Roman"/>
                <w:sz w:val="21"/>
                <w:szCs w:val="21"/>
                <w:u w:val="none"/>
                <w:lang w:val="en-US" w:eastAsia="zh-CN"/>
              </w:rPr>
              <w:t>分别从顾客过程、公司内部、外部供方、外部环境等方面</w:t>
            </w:r>
            <w:r>
              <w:rPr>
                <w:rFonts w:hint="eastAsia" w:ascii="Times New Roman" w:hAnsi="Times New Roman" w:cs="Times New Roman"/>
                <w:sz w:val="21"/>
                <w:szCs w:val="21"/>
                <w:u w:val="none"/>
              </w:rPr>
              <w:t>识别了必要的风险和机遇，如：方针和目标变更的需求，</w:t>
            </w:r>
            <w:r>
              <w:rPr>
                <w:rFonts w:hint="eastAsia" w:ascii="Times New Roman" w:hAnsi="Times New Roman" w:cs="Times New Roman"/>
                <w:sz w:val="21"/>
                <w:szCs w:val="21"/>
                <w:u w:val="none"/>
                <w:lang w:val="en-US" w:eastAsia="zh-CN"/>
              </w:rPr>
              <w:t>环境</w:t>
            </w:r>
            <w:r>
              <w:rPr>
                <w:rFonts w:hint="eastAsia" w:ascii="Times New Roman" w:hAnsi="Times New Roman" w:cs="Times New Roman"/>
                <w:sz w:val="21"/>
                <w:szCs w:val="21"/>
                <w:u w:val="none"/>
              </w:rPr>
              <w:t>标准变更，原材料变更，工艺变更</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法律法规变更、外部环境（包括空气 水的变化）</w:t>
            </w:r>
            <w:r>
              <w:rPr>
                <w:rFonts w:hint="eastAsia" w:ascii="Times New Roman" w:hAnsi="Times New Roman" w:cs="Times New Roman"/>
                <w:sz w:val="21"/>
                <w:szCs w:val="21"/>
                <w:u w:val="none"/>
              </w:rPr>
              <w:t>等风险，制定了相应的应对措施，制定了负责的部门和具体的实施方案，需要的资金和日程安排</w:t>
            </w:r>
            <w:r>
              <w:rPr>
                <w:rFonts w:hint="eastAsia" w:ascii="Times New Roman" w:hAnsi="Times New Roman" w:cs="Times New Roman"/>
                <w:sz w:val="21"/>
                <w:szCs w:val="21"/>
                <w:u w:val="none"/>
                <w:lang w:val="en-US" w:eastAsia="zh-CN"/>
              </w:rPr>
              <w:t>等，</w:t>
            </w:r>
            <w:r>
              <w:rPr>
                <w:rFonts w:hint="eastAsia" w:ascii="Times New Roman" w:hAnsi="Times New Roman" w:cs="Times New Roman"/>
                <w:sz w:val="21"/>
                <w:szCs w:val="21"/>
                <w:u w:val="none"/>
              </w:rPr>
              <w:t>如针对</w:t>
            </w:r>
            <w:r>
              <w:rPr>
                <w:rFonts w:hint="eastAsia" w:ascii="Times New Roman" w:hAnsi="Times New Roman" w:cs="Times New Roman"/>
                <w:sz w:val="21"/>
                <w:szCs w:val="21"/>
                <w:u w:val="none"/>
                <w:lang w:val="en-US" w:eastAsia="zh-CN"/>
              </w:rPr>
              <w:t>法律法规</w:t>
            </w:r>
            <w:r>
              <w:rPr>
                <w:rFonts w:hint="eastAsia" w:ascii="Times New Roman" w:hAnsi="Times New Roman" w:cs="Times New Roman"/>
                <w:sz w:val="21"/>
                <w:szCs w:val="21"/>
                <w:u w:val="none"/>
              </w:rPr>
              <w:t>的变更，由</w:t>
            </w:r>
            <w:r>
              <w:rPr>
                <w:rFonts w:hint="eastAsia" w:ascii="Times New Roman" w:hAnsi="Times New Roman" w:cs="Times New Roman"/>
                <w:sz w:val="21"/>
                <w:szCs w:val="21"/>
                <w:u w:val="none"/>
                <w:lang w:val="en-US" w:eastAsia="zh-CN"/>
              </w:rPr>
              <w:t>办公室</w:t>
            </w:r>
            <w:r>
              <w:rPr>
                <w:rFonts w:hint="eastAsia" w:ascii="Times New Roman" w:hAnsi="Times New Roman" w:cs="Times New Roman"/>
                <w:sz w:val="21"/>
                <w:szCs w:val="21"/>
                <w:u w:val="none"/>
                <w:lang w:eastAsia="zh-CN"/>
              </w:rPr>
              <w:t>紧密与</w:t>
            </w:r>
            <w:r>
              <w:rPr>
                <w:rFonts w:hint="eastAsia" w:ascii="Times New Roman" w:hAnsi="Times New Roman" w:cs="Times New Roman"/>
                <w:sz w:val="21"/>
                <w:szCs w:val="21"/>
                <w:u w:val="none"/>
                <w:lang w:val="en-US" w:eastAsia="zh-CN"/>
              </w:rPr>
              <w:t>行政部门</w:t>
            </w:r>
            <w:r>
              <w:rPr>
                <w:rFonts w:hint="eastAsia" w:ascii="Times New Roman" w:hAnsi="Times New Roman" w:cs="Times New Roman"/>
                <w:sz w:val="21"/>
                <w:szCs w:val="21"/>
                <w:u w:val="none"/>
                <w:lang w:eastAsia="zh-CN"/>
              </w:rPr>
              <w:t>沟通</w:t>
            </w:r>
            <w:r>
              <w:rPr>
                <w:rFonts w:hint="eastAsia" w:ascii="Times New Roman" w:hAnsi="Times New Roman" w:cs="Times New Roman"/>
                <w:sz w:val="21"/>
                <w:szCs w:val="21"/>
                <w:u w:val="none"/>
              </w:rPr>
              <w:t>，是否有更新的需求</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经查</w:t>
            </w:r>
            <w:r>
              <w:rPr>
                <w:rFonts w:hint="eastAsia" w:ascii="Times New Roman" w:hAnsi="Times New Roman" w:cs="Times New Roman"/>
                <w:sz w:val="21"/>
                <w:szCs w:val="21"/>
                <w:u w:val="none"/>
              </w:rPr>
              <w:t>暂无变更需求</w:t>
            </w:r>
            <w:r>
              <w:rPr>
                <w:rFonts w:hint="eastAsia" w:ascii="Times New Roman" w:hAnsi="Times New Roman" w:cs="Times New Roman"/>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sz w:val="21"/>
                <w:szCs w:val="21"/>
              </w:rPr>
            </w:pPr>
            <w:r>
              <w:rPr>
                <w:b/>
                <w:sz w:val="21"/>
                <w:szCs w:val="21"/>
              </w:rPr>
              <w:t>5.QMS</w:t>
            </w:r>
            <w:r>
              <w:rPr>
                <w:rFonts w:hint="eastAsia" w:ascii="宋体" w:hAnsi="宋体"/>
                <w:b/>
                <w:sz w:val="21"/>
                <w:szCs w:val="21"/>
              </w:rPr>
              <w:t>过程</w:t>
            </w:r>
          </w:p>
          <w:p>
            <w:pPr>
              <w:keepNext w:val="0"/>
              <w:keepLines w:val="0"/>
              <w:pageBreakBefore w:val="0"/>
              <w:tabs>
                <w:tab w:val="left" w:pos="540"/>
              </w:tabs>
              <w:kinsoku/>
              <w:wordWrap/>
              <w:overflowPunct/>
              <w:topLinePunct w:val="0"/>
              <w:autoSpaceDE/>
              <w:autoSpaceDN/>
              <w:bidi w:val="0"/>
              <w:adjustRightInd/>
              <w:snapToGrid/>
              <w:spacing w:line="320" w:lineRule="exact"/>
              <w:ind w:left="201" w:hanging="201" w:hangingChars="100"/>
              <w:textAlignment w:val="auto"/>
              <w:rPr>
                <w:rFonts w:ascii="宋体" w:hAnsi="宋体"/>
                <w:b/>
                <w:color w:val="000000"/>
                <w:sz w:val="20"/>
                <w:szCs w:val="20"/>
                <w:u w:val="single"/>
              </w:rPr>
            </w:pPr>
            <w:r>
              <w:rPr>
                <w:rFonts w:hint="eastAsia" w:ascii="宋体" w:hAnsi="宋体"/>
                <w:b/>
                <w:color w:val="000000"/>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autoSpaceDE/>
              <w:autoSpaceDN/>
              <w:bidi w:val="0"/>
              <w:adjustRightInd/>
              <w:snapToGrid/>
              <w:spacing w:line="320" w:lineRule="exact"/>
              <w:ind w:left="201" w:hanging="201" w:hangingChars="100"/>
              <w:textAlignment w:val="auto"/>
              <w:rPr>
                <w:rFonts w:ascii="宋体" w:hAnsi="宋体"/>
                <w:b/>
                <w:color w:val="000000"/>
                <w:sz w:val="20"/>
                <w:szCs w:val="20"/>
                <w:u w:val="single"/>
              </w:rPr>
            </w:pPr>
            <w:r>
              <w:rPr>
                <w:rFonts w:hint="eastAsia" w:ascii="宋体" w:hAnsi="宋体"/>
                <w:b/>
                <w:color w:val="000000"/>
                <w:sz w:val="20"/>
                <w:szCs w:val="20"/>
              </w:rPr>
              <w:t>其中关键过程有</w:t>
            </w:r>
            <w:r>
              <w:rPr>
                <w:rFonts w:hint="eastAsia" w:ascii="宋体" w:hAnsi="宋体"/>
                <w:b/>
                <w:color w:val="000000"/>
                <w:sz w:val="20"/>
                <w:szCs w:val="20"/>
                <w:u w:val="single"/>
              </w:rPr>
              <w:t xml:space="preserve"> </w:t>
            </w:r>
            <w:r>
              <w:rPr>
                <w:rFonts w:hint="eastAsia" w:ascii="宋体" w:hAnsi="宋体"/>
                <w:b w:val="0"/>
                <w:bCs/>
                <w:color w:val="000000"/>
                <w:sz w:val="20"/>
                <w:szCs w:val="20"/>
                <w:u w:val="single"/>
              </w:rPr>
              <w:t xml:space="preserve"> </w:t>
            </w:r>
            <w:r>
              <w:rPr>
                <w:rFonts w:hint="eastAsia" w:ascii="宋体" w:hAnsi="宋体"/>
                <w:b w:val="0"/>
                <w:bCs/>
                <w:color w:val="000000"/>
                <w:sz w:val="20"/>
                <w:szCs w:val="20"/>
                <w:u w:val="single"/>
                <w:lang w:val="en-US" w:eastAsia="zh-CN"/>
              </w:rPr>
              <w:t>热处理、精加工</w:t>
            </w:r>
            <w:r>
              <w:rPr>
                <w:rFonts w:hint="eastAsia" w:ascii="宋体" w:hAnsi="宋体"/>
                <w:b w:val="0"/>
                <w:bCs/>
                <w:color w:val="000000"/>
                <w:sz w:val="20"/>
                <w:szCs w:val="20"/>
                <w:u w:val="single"/>
              </w:rPr>
              <w:t xml:space="preserve"> </w:t>
            </w:r>
            <w:r>
              <w:rPr>
                <w:rFonts w:hint="eastAsia" w:ascii="宋体" w:hAnsi="宋体"/>
                <w:b/>
                <w:color w:val="000000"/>
                <w:sz w:val="20"/>
                <w:szCs w:val="20"/>
                <w:u w:val="single"/>
              </w:rPr>
              <w:t xml:space="preserve"> </w:t>
            </w:r>
          </w:p>
          <w:p>
            <w:pPr>
              <w:keepNext w:val="0"/>
              <w:keepLines w:val="0"/>
              <w:pageBreakBefore w:val="0"/>
              <w:tabs>
                <w:tab w:val="left" w:pos="540"/>
              </w:tabs>
              <w:kinsoku/>
              <w:wordWrap/>
              <w:overflowPunct/>
              <w:topLinePunct w:val="0"/>
              <w:autoSpaceDE/>
              <w:autoSpaceDN/>
              <w:bidi w:val="0"/>
              <w:adjustRightInd/>
              <w:snapToGrid/>
              <w:spacing w:line="320" w:lineRule="exact"/>
              <w:ind w:left="201" w:hanging="201" w:hangingChars="100"/>
              <w:textAlignment w:val="auto"/>
              <w:rPr>
                <w:rFonts w:ascii="宋体" w:hAnsi="宋体"/>
                <w:b/>
                <w:color w:val="000000"/>
                <w:sz w:val="20"/>
                <w:szCs w:val="20"/>
                <w:u w:val="single"/>
              </w:rPr>
            </w:pPr>
            <w:r>
              <w:rPr>
                <w:rFonts w:hint="eastAsia" w:ascii="宋体" w:hAnsi="宋体"/>
                <w:b/>
                <w:color w:val="000000"/>
                <w:sz w:val="20"/>
                <w:szCs w:val="20"/>
              </w:rPr>
              <w:t>需要确认过程</w:t>
            </w:r>
            <w:r>
              <w:rPr>
                <w:rFonts w:hint="eastAsia" w:ascii="宋体" w:hAnsi="宋体"/>
                <w:b/>
                <w:color w:val="000000"/>
                <w:sz w:val="20"/>
                <w:szCs w:val="20"/>
                <w:lang w:eastAsia="zh-CN"/>
              </w:rPr>
              <w:t>：</w:t>
            </w:r>
            <w:r>
              <w:rPr>
                <w:rFonts w:hint="eastAsia" w:ascii="宋体" w:hAnsi="宋体"/>
                <w:b w:val="0"/>
                <w:bCs/>
                <w:color w:val="000000"/>
                <w:sz w:val="20"/>
                <w:szCs w:val="20"/>
                <w:u w:val="single"/>
                <w:lang w:val="en-US" w:eastAsia="zh-CN"/>
              </w:rPr>
              <w:t>焊接</w:t>
            </w:r>
            <w:r>
              <w:rPr>
                <w:rFonts w:hint="eastAsia" w:ascii="宋体" w:hAnsi="宋体"/>
                <w:b/>
                <w:color w:val="000000"/>
                <w:sz w:val="20"/>
                <w:szCs w:val="20"/>
              </w:rPr>
              <w:t xml:space="preserve"> </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宋体" w:hAnsi="宋体"/>
                <w:b/>
                <w:sz w:val="21"/>
                <w:szCs w:val="21"/>
              </w:rPr>
            </w:pPr>
            <w:r>
              <w:rPr>
                <w:rFonts w:hint="eastAsia" w:ascii="宋体" w:hAnsi="宋体"/>
                <w:b/>
                <w:color w:val="000000"/>
                <w:sz w:val="20"/>
                <w:szCs w:val="20"/>
              </w:rPr>
              <w:t>不适用条款是</w:t>
            </w:r>
            <w:r>
              <w:rPr>
                <w:rFonts w:hint="default" w:ascii="Times New Roman" w:hAnsi="Times New Roman" w:cs="Times New Roman"/>
                <w:b w:val="0"/>
                <w:bCs/>
                <w:color w:val="000000"/>
                <w:sz w:val="21"/>
                <w:szCs w:val="21"/>
                <w:u w:val="single"/>
              </w:rPr>
              <w:t xml:space="preserve"> </w:t>
            </w:r>
            <w:r>
              <w:rPr>
                <w:rFonts w:hint="default" w:ascii="Times New Roman" w:hAnsi="Times New Roman" w:cs="Times New Roman"/>
                <w:b w:val="0"/>
                <w:bCs/>
                <w:color w:val="000000"/>
                <w:sz w:val="21"/>
                <w:szCs w:val="21"/>
                <w:u w:val="single"/>
                <w:lang w:val="en-US" w:eastAsia="zh-CN"/>
              </w:rPr>
              <w:t>8.3</w:t>
            </w:r>
            <w:r>
              <w:rPr>
                <w:rFonts w:hint="eastAsia" w:ascii="宋体" w:hAnsi="宋体"/>
                <w:b/>
                <w:color w:val="000000"/>
                <w:sz w:val="20"/>
                <w:szCs w:val="20"/>
              </w:rPr>
              <w:t>，不适用理由：</w:t>
            </w:r>
            <w:r>
              <w:rPr>
                <w:rFonts w:hint="eastAsia"/>
                <w:sz w:val="21"/>
                <w:szCs w:val="21"/>
              </w:rPr>
              <w:t>产品依据国家标准、行业标准、客户要求</w:t>
            </w:r>
            <w:r>
              <w:rPr>
                <w:rFonts w:hint="eastAsia"/>
                <w:sz w:val="21"/>
                <w:szCs w:val="21"/>
                <w:lang w:val="en-US" w:eastAsia="zh-CN"/>
              </w:rPr>
              <w:t>生产</w:t>
            </w:r>
            <w:r>
              <w:rPr>
                <w:rFonts w:hint="eastAsia"/>
                <w:sz w:val="21"/>
                <w:szCs w:val="21"/>
              </w:rPr>
              <w:t>，目前工艺流程简单成熟</w:t>
            </w:r>
            <w:r>
              <w:rPr>
                <w:rFonts w:hint="eastAsia"/>
                <w:sz w:val="21"/>
                <w:szCs w:val="21"/>
                <w:lang w:val="en-US" w:eastAsia="zh-CN"/>
              </w:rPr>
              <w:t>，</w:t>
            </w:r>
            <w:r>
              <w:rPr>
                <w:rFonts w:hint="eastAsia"/>
                <w:sz w:val="21"/>
                <w:szCs w:val="21"/>
              </w:rPr>
              <w:t>无设计开发要求，故不适用8.3条款，不影响组织确保其产品和服务合格的能力或责任，对增强顾客满意也不会产生影响</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宋体" w:hAnsi="宋体"/>
                <w:b/>
                <w:sz w:val="21"/>
                <w:szCs w:val="21"/>
                <w:lang w:val="en-US" w:eastAsia="zh-CN"/>
              </w:rPr>
              <w:t>6</w:t>
            </w:r>
            <w:r>
              <w:rPr>
                <w:rFonts w:ascii="宋体" w:hAnsi="宋体"/>
                <w:b/>
                <w:sz w:val="21"/>
                <w:szCs w:val="21"/>
              </w:rPr>
              <w:t>.</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lang w:val="en-US" w:eastAsia="zh-CN"/>
              </w:rPr>
              <w:t>材料</w:t>
            </w:r>
            <w:r>
              <w:rPr>
                <w:rFonts w:hint="eastAsia"/>
                <w:sz w:val="21"/>
                <w:szCs w:val="21"/>
              </w:rPr>
              <w:t>消耗、固体废弃物排放、</w:t>
            </w:r>
            <w:r>
              <w:rPr>
                <w:rFonts w:hint="eastAsia"/>
                <w:sz w:val="21"/>
                <w:szCs w:val="21"/>
                <w:lang w:val="en-US" w:eastAsia="zh-CN"/>
              </w:rPr>
              <w:t>油品泄露、</w:t>
            </w:r>
            <w:r>
              <w:rPr>
                <w:rFonts w:hint="eastAsia"/>
                <w:sz w:val="21"/>
                <w:szCs w:val="21"/>
              </w:rPr>
              <w:t>噪声排放、火灾</w:t>
            </w:r>
            <w:r>
              <w:rPr>
                <w:rFonts w:hint="eastAsia"/>
                <w:sz w:val="21"/>
                <w:szCs w:val="21"/>
                <w:lang w:val="en-US" w:eastAsia="zh-CN"/>
              </w:rPr>
              <w:t>爆炸事故</w:t>
            </w:r>
            <w:r>
              <w:rPr>
                <w:rFonts w:hint="eastAsia"/>
                <w:sz w:val="21"/>
                <w:szCs w:val="21"/>
              </w:rPr>
              <w:t>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宋体" w:hAnsi="宋体"/>
                <w:b/>
                <w:sz w:val="21"/>
                <w:szCs w:val="21"/>
                <w:lang w:val="en-US" w:eastAsia="zh-CN"/>
              </w:rPr>
              <w:t>7</w:t>
            </w:r>
            <w:r>
              <w:rPr>
                <w:rFonts w:ascii="宋体" w:hAnsi="宋体"/>
                <w:b/>
                <w:sz w:val="21"/>
                <w:szCs w:val="21"/>
              </w:rPr>
              <w:t xml:space="preserve">.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办公室组织全体部门对所涉及的危险源进行识别，并评价出重大危险源，提供重大危险源评价记录，目前危险源识别基本完整，评价的不可接受风险为火灾、触电、噪声伤害、机械伤害、物体打击、粉尘伤害</w:t>
            </w:r>
            <w:r>
              <w:rPr>
                <w:rFonts w:hint="eastAsia" w:ascii="宋体" w:hAnsi="宋体"/>
                <w:sz w:val="21"/>
                <w:szCs w:val="21"/>
                <w:lang w:val="en-GB" w:eastAsia="zh-CN"/>
              </w:rPr>
              <w:t>，</w:t>
            </w:r>
            <w:r>
              <w:rPr>
                <w:rFonts w:hint="eastAsia" w:ascii="宋体" w:hAnsi="宋体"/>
                <w:sz w:val="21"/>
                <w:szCs w:val="21"/>
                <w:lang w:val="en-US" w:eastAsia="zh-CN"/>
              </w:rPr>
              <w:t>危险源</w:t>
            </w:r>
            <w:r>
              <w:rPr>
                <w:rFonts w:hint="eastAsia" w:ascii="宋体" w:hAnsi="宋体"/>
                <w:sz w:val="21"/>
                <w:szCs w:val="21"/>
                <w:lang w:val="en-GB" w:eastAsia="zh-CN"/>
              </w:rPr>
              <w:t>识别评价符合要求。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宋体" w:hAnsi="宋体"/>
                <w:b/>
                <w:sz w:val="21"/>
                <w:szCs w:val="21"/>
                <w:lang w:val="en-US" w:eastAsia="zh-CN"/>
              </w:rPr>
              <w:t>8</w:t>
            </w:r>
            <w:r>
              <w:rPr>
                <w:rFonts w:ascii="宋体" w:hAnsi="宋体"/>
                <w:b/>
                <w:sz w:val="21"/>
                <w:szCs w:val="21"/>
              </w:rPr>
              <w:t>.</w:t>
            </w:r>
            <w:r>
              <w:rPr>
                <w:rFonts w:hint="eastAsia" w:ascii="宋体" w:hAnsi="宋体"/>
                <w:b/>
                <w:sz w:val="21"/>
                <w:szCs w:val="21"/>
              </w:rPr>
              <w:t>法律法规及其他要求</w:t>
            </w:r>
          </w:p>
          <w:p>
            <w:pPr>
              <w:pStyle w:val="14"/>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left="-13" w:leftChars="-43" w:hanging="90" w:hangingChars="43"/>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获取法律法规项，☑法律法规获取充分</w:t>
            </w:r>
          </w:p>
          <w:p>
            <w:pPr>
              <w:pStyle w:val="14"/>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结合公司的☑产品/服务☑环境因素☑危险源，☑确定□未确定法律法规要求的具体条款，</w:t>
            </w:r>
          </w:p>
          <w:p>
            <w:pPr>
              <w:pStyle w:val="14"/>
              <w:numPr>
                <w:ilvl w:val="0"/>
                <w:numId w:val="3"/>
              </w:numPr>
              <w:tabs>
                <w:tab w:val="left" w:pos="540"/>
              </w:tabs>
              <w:spacing w:line="300" w:lineRule="exact"/>
              <w:ind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法律法规的宣传方式：</w:t>
            </w:r>
            <w:r>
              <w:rPr>
                <w:rFonts w:hint="eastAsia" w:ascii="宋体" w:hAnsi="宋体" w:cs="宋体"/>
                <w:szCs w:val="21"/>
              </w:rPr>
              <w:t>通过培训、开会、发文件等形式将法律法规要求传达给了员工和相关方。</w:t>
            </w:r>
          </w:p>
          <w:p>
            <w:pPr>
              <w:pStyle w:val="14"/>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left="420" w:leftChars="0" w:hanging="420" w:firstLineChars="0"/>
              <w:textAlignment w:val="auto"/>
              <w:rPr>
                <w:rFonts w:ascii="宋体" w:hAnsi="宋体"/>
                <w:b/>
                <w:sz w:val="21"/>
                <w:szCs w:val="21"/>
              </w:rPr>
            </w:pPr>
            <w:r>
              <w:rPr>
                <w:rFonts w:hint="eastAsia" w:ascii="宋体" w:hAnsi="宋体" w:eastAsia="宋体" w:cs="Times New Roman"/>
                <w:b w:val="0"/>
                <w:bCs w:val="0"/>
                <w:kern w:val="2"/>
                <w:sz w:val="21"/>
                <w:szCs w:val="21"/>
                <w:lang w:val="en-US" w:eastAsia="zh-CN" w:bidi="ar-SA"/>
              </w:rPr>
              <w:t>法律法规要求及时更新：是</w:t>
            </w:r>
            <w:r>
              <w:rPr>
                <w:rFonts w:hint="eastAsia" w:ascii="宋体" w:hAnsi="宋体" w:cs="Times New Roman"/>
                <w:b w:val="0"/>
                <w:bCs w:val="0"/>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宋体" w:hAnsi="宋体"/>
                <w:b/>
                <w:sz w:val="21"/>
                <w:szCs w:val="21"/>
                <w:lang w:val="en-US" w:eastAsia="zh-CN"/>
              </w:rPr>
              <w:t>9</w:t>
            </w:r>
            <w:r>
              <w:rPr>
                <w:rFonts w:ascii="宋体" w:hAnsi="宋体"/>
                <w:b/>
                <w:sz w:val="21"/>
                <w:szCs w:val="21"/>
              </w:rPr>
              <w:t>.</w:t>
            </w:r>
            <w:r>
              <w:rPr>
                <w:rFonts w:hint="eastAsia" w:ascii="宋体" w:hAnsi="宋体"/>
                <w:b/>
                <w:sz w:val="21"/>
                <w:szCs w:val="21"/>
              </w:rPr>
              <w:t>目标、方案</w:t>
            </w:r>
          </w:p>
          <w:p>
            <w:pPr>
              <w:keepNext w:val="0"/>
              <w:keepLines w:val="0"/>
              <w:pageBreakBefore w:val="0"/>
              <w:kinsoku/>
              <w:wordWrap/>
              <w:overflowPunct/>
              <w:topLinePunct w:val="0"/>
              <w:autoSpaceDE/>
              <w:autoSpaceDN/>
              <w:bidi w:val="0"/>
              <w:adjustRightInd/>
              <w:snapToGrid/>
              <w:spacing w:line="320" w:lineRule="exact"/>
              <w:textAlignment w:val="auto"/>
              <w:rPr>
                <w:rFonts w:hint="eastAsia"/>
                <w:sz w:val="21"/>
                <w:szCs w:val="21"/>
                <w:u w:val="none"/>
                <w:lang w:eastAsia="zh-CN"/>
              </w:rPr>
            </w:pPr>
            <w:r>
              <w:rPr>
                <w:rFonts w:hint="eastAsia"/>
                <w:sz w:val="21"/>
                <w:szCs w:val="21"/>
              </w:rPr>
              <w:t>公司目标：产品一次交付合格率99%以上；顾客满意度95%以上；危险废弃物统一收集、统一处理率100%；可回收废弃物统一收集处理率100%；噪声达标排放：符合GB12348-2008标准中2类标准</w:t>
            </w:r>
            <w:r>
              <w:rPr>
                <w:rFonts w:hint="eastAsia"/>
                <w:sz w:val="21"/>
                <w:szCs w:val="21"/>
                <w:lang w:val="en-US" w:eastAsia="zh-CN"/>
              </w:rPr>
              <w:t xml:space="preserve"> </w:t>
            </w:r>
            <w:r>
              <w:rPr>
                <w:rFonts w:hint="eastAsia"/>
                <w:sz w:val="21"/>
                <w:szCs w:val="21"/>
              </w:rPr>
              <w:t>昼间60dB（A），夜间50dB（A）</w:t>
            </w:r>
            <w:r>
              <w:rPr>
                <w:rFonts w:hint="eastAsia"/>
                <w:sz w:val="21"/>
                <w:szCs w:val="21"/>
                <w:lang w:eastAsia="zh-CN"/>
              </w:rPr>
              <w:t>；</w:t>
            </w:r>
            <w:r>
              <w:rPr>
                <w:rFonts w:hint="eastAsia"/>
                <w:sz w:val="21"/>
                <w:szCs w:val="21"/>
              </w:rPr>
              <w:t>杜绝重伤、死亡事件；重伤、死亡事件为零</w:t>
            </w:r>
            <w:r>
              <w:rPr>
                <w:rFonts w:hint="eastAsia"/>
                <w:sz w:val="21"/>
                <w:szCs w:val="21"/>
                <w:lang w:eastAsia="zh-CN"/>
              </w:rPr>
              <w:t>；</w:t>
            </w:r>
            <w:r>
              <w:rPr>
                <w:rFonts w:hint="eastAsia"/>
                <w:sz w:val="21"/>
                <w:szCs w:val="21"/>
              </w:rPr>
              <w:t>杜绝火灾爆炸事件：火灾、爆炸事件为零</w:t>
            </w:r>
            <w:r>
              <w:rPr>
                <w:rFonts w:hint="eastAsia"/>
                <w:sz w:val="21"/>
                <w:szCs w:val="21"/>
                <w:lang w:eastAsia="zh-CN"/>
              </w:rPr>
              <w:t>；</w:t>
            </w:r>
            <w:r>
              <w:rPr>
                <w:rFonts w:hint="eastAsia"/>
                <w:sz w:val="21"/>
                <w:szCs w:val="21"/>
              </w:rPr>
              <w:t>杜绝机械伤害、触电事故：机械伤害、触电事故为</w:t>
            </w:r>
            <w:r>
              <w:rPr>
                <w:rFonts w:hint="eastAsia"/>
                <w:sz w:val="21"/>
                <w:szCs w:val="21"/>
                <w:lang w:val="en-US" w:eastAsia="zh-CN"/>
              </w:rPr>
              <w:t>零</w:t>
            </w:r>
            <w:r>
              <w:rPr>
                <w:rFonts w:hint="eastAsia"/>
                <w:sz w:val="21"/>
                <w:szCs w:val="21"/>
                <w:u w:val="none"/>
              </w:rPr>
              <w:t>。</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Times New Roman" w:hAnsi="Times New Roman" w:cs="宋体"/>
                <w:sz w:val="21"/>
                <w:szCs w:val="21"/>
              </w:rPr>
              <w:t>提供了文件化可分解的目标</w:t>
            </w:r>
            <w:r>
              <w:rPr>
                <w:rFonts w:hint="eastAsia" w:ascii="Times New Roman" w:hAnsi="Times New Roman" w:cs="宋体"/>
                <w:sz w:val="21"/>
                <w:szCs w:val="21"/>
                <w:lang w:eastAsia="zh-CN"/>
              </w:rPr>
              <w:t>、指标</w:t>
            </w:r>
            <w:r>
              <w:rPr>
                <w:rFonts w:hint="eastAsia" w:ascii="Times New Roman" w:hAnsi="Times New Roman" w:cs="宋体"/>
                <w:sz w:val="21"/>
                <w:szCs w:val="21"/>
              </w:rPr>
              <w:t>，经查问分解到各部门，经查阅建立的</w:t>
            </w:r>
            <w:r>
              <w:rPr>
                <w:rFonts w:hint="eastAsia" w:ascii="Times New Roman" w:hAnsi="Times New Roman" w:cs="宋体"/>
                <w:sz w:val="21"/>
                <w:szCs w:val="21"/>
                <w:lang w:eastAsia="zh-CN"/>
              </w:rPr>
              <w:t>管理</w:t>
            </w:r>
            <w:r>
              <w:rPr>
                <w:rFonts w:hint="eastAsia" w:ascii="Times New Roman" w:hAnsi="Times New Roman" w:cs="宋体"/>
                <w:sz w:val="21"/>
                <w:szCs w:val="21"/>
              </w:rPr>
              <w:t>目标符合标准要求，在方针的框架下展开，每</w:t>
            </w:r>
            <w:r>
              <w:rPr>
                <w:rFonts w:hint="eastAsia" w:ascii="Times New Roman" w:hAnsi="Times New Roman" w:cs="宋体"/>
                <w:sz w:val="21"/>
                <w:szCs w:val="21"/>
                <w:lang w:val="en-US" w:eastAsia="zh-CN"/>
              </w:rPr>
              <w:t>季度</w:t>
            </w:r>
            <w:r>
              <w:rPr>
                <w:rFonts w:hint="eastAsia" w:ascii="Times New Roman" w:hAnsi="Times New Roman" w:cs="宋体"/>
                <w:sz w:val="21"/>
                <w:szCs w:val="21"/>
              </w:rPr>
              <w:t>考核一次，提供</w:t>
            </w:r>
            <w:r>
              <w:rPr>
                <w:rFonts w:hint="eastAsia" w:ascii="Times New Roman" w:hAnsi="Times New Roman" w:cs="宋体"/>
                <w:sz w:val="21"/>
                <w:szCs w:val="21"/>
                <w:lang w:val="en-US" w:eastAsia="zh-CN"/>
              </w:rPr>
              <w:t>20</w:t>
            </w:r>
            <w:r>
              <w:rPr>
                <w:rFonts w:hint="default" w:cs="宋体"/>
                <w:sz w:val="21"/>
                <w:szCs w:val="21"/>
                <w:lang w:eastAsia="zh-CN"/>
              </w:rPr>
              <w:t>20</w:t>
            </w:r>
            <w:r>
              <w:rPr>
                <w:rFonts w:hint="eastAsia" w:ascii="Times New Roman" w:hAnsi="Times New Roman" w:cs="宋体"/>
                <w:sz w:val="21"/>
                <w:szCs w:val="21"/>
                <w:lang w:val="en-US" w:eastAsia="zh-CN"/>
              </w:rPr>
              <w:t>年</w:t>
            </w:r>
            <w:r>
              <w:rPr>
                <w:rFonts w:hint="eastAsia" w:cs="宋体"/>
                <w:sz w:val="21"/>
                <w:szCs w:val="21"/>
                <w:lang w:val="en-US" w:eastAsia="zh-CN"/>
              </w:rPr>
              <w:t>1-4</w:t>
            </w:r>
            <w:r>
              <w:rPr>
                <w:rFonts w:hint="eastAsia" w:ascii="Times New Roman" w:hAnsi="Times New Roman" w:cs="宋体"/>
                <w:sz w:val="21"/>
                <w:szCs w:val="21"/>
                <w:lang w:val="en-US" w:eastAsia="zh-CN"/>
              </w:rPr>
              <w:t>季度目标考核记录</w:t>
            </w:r>
            <w:r>
              <w:rPr>
                <w:rFonts w:hint="eastAsia" w:ascii="Times New Roman" w:hAnsi="Times New Roman" w:cs="宋体"/>
                <w:sz w:val="21"/>
                <w:szCs w:val="21"/>
              </w:rPr>
              <w:t>，</w:t>
            </w:r>
            <w:r>
              <w:rPr>
                <w:rFonts w:hint="eastAsia" w:ascii="Times New Roman" w:hAnsi="Times New Roman" w:cs="宋体"/>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keepNext w:val="0"/>
              <w:keepLines w:val="0"/>
              <w:pageBreakBefore w:val="0"/>
              <w:tabs>
                <w:tab w:val="left" w:pos="540"/>
              </w:tabs>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Times New Roman" w:hAnsi="Times New Roman" w:cs="宋体"/>
                <w:sz w:val="21"/>
                <w:szCs w:val="21"/>
              </w:rPr>
              <w:t>管理体系文件由</w:t>
            </w:r>
            <w:r>
              <w:rPr>
                <w:rFonts w:hint="eastAsia" w:cs="宋体"/>
                <w:sz w:val="21"/>
                <w:szCs w:val="21"/>
                <w:lang w:val="en-US" w:eastAsia="zh-CN"/>
              </w:rPr>
              <w:t>办公室</w:t>
            </w:r>
            <w:r>
              <w:rPr>
                <w:rFonts w:hint="eastAsia" w:ascii="Times New Roman" w:hAnsi="Times New Roman" w:cs="宋体"/>
                <w:sz w:val="21"/>
                <w:szCs w:val="21"/>
              </w:rPr>
              <w:t>组织编写，总经理批准发布实施，</w:t>
            </w:r>
            <w:r>
              <w:rPr>
                <w:rFonts w:hint="eastAsia" w:ascii="Times New Roman" w:hAnsi="Times New Roman" w:cs="宋体"/>
                <w:sz w:val="21"/>
                <w:szCs w:val="21"/>
                <w:lang w:eastAsia="zh-CN"/>
              </w:rPr>
              <w:t>办公室</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sz w:val="21"/>
                <w:szCs w:val="21"/>
                <w:lang w:val="en-US" w:eastAsia="zh-CN"/>
              </w:rPr>
              <w:t>办公室</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cs="宋体"/>
                <w:sz w:val="21"/>
                <w:szCs w:val="21"/>
                <w:lang w:val="en-US" w:eastAsia="zh-CN"/>
              </w:rPr>
              <w:t>办公室</w:t>
            </w:r>
            <w:r>
              <w:rPr>
                <w:rFonts w:hint="eastAsia" w:ascii="Times New Roman" w:hAnsi="Times New Roman" w:cs="宋体"/>
                <w:sz w:val="21"/>
                <w:szCs w:val="21"/>
              </w:rPr>
              <w:t>不定期检查记录的同步性、真实性和填写完整、保存状况</w:t>
            </w:r>
            <w:r>
              <w:rPr>
                <w:rFonts w:hint="eastAsia"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000000"/>
                <w:sz w:val="20"/>
                <w:szCs w:val="20"/>
              </w:rPr>
            </w:pPr>
            <w:r>
              <w:rPr>
                <w:rFonts w:hint="eastAsia" w:ascii="宋体" w:hAnsi="宋体"/>
                <w:b/>
                <w:color w:val="000000"/>
                <w:sz w:val="20"/>
                <w:szCs w:val="20"/>
                <w:lang w:val="en-US" w:eastAsia="zh-CN"/>
              </w:rPr>
              <w:t>1.</w:t>
            </w:r>
            <w:r>
              <w:rPr>
                <w:rFonts w:hint="eastAsia" w:ascii="宋体" w:hAnsi="宋体"/>
                <w:b/>
                <w:color w:val="000000"/>
                <w:sz w:val="20"/>
                <w:szCs w:val="20"/>
              </w:rPr>
              <w:t>人力资源的简要说明</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sz w:val="21"/>
                <w:szCs w:val="21"/>
              </w:rPr>
              <w:t>公司共有员工</w:t>
            </w:r>
            <w:r>
              <w:rPr>
                <w:rFonts w:hint="eastAsia"/>
                <w:sz w:val="21"/>
                <w:szCs w:val="21"/>
                <w:lang w:val="en-US" w:eastAsia="zh-CN"/>
              </w:rPr>
              <w:t>29</w:t>
            </w:r>
            <w:r>
              <w:rPr>
                <w:rFonts w:hint="eastAsia"/>
                <w:sz w:val="21"/>
                <w:szCs w:val="21"/>
              </w:rPr>
              <w:t>人，其中管理人员</w:t>
            </w:r>
            <w:r>
              <w:rPr>
                <w:rFonts w:hint="eastAsia"/>
                <w:sz w:val="21"/>
                <w:szCs w:val="21"/>
                <w:lang w:val="en-US" w:eastAsia="zh-CN"/>
              </w:rPr>
              <w:t>7</w:t>
            </w:r>
            <w:r>
              <w:rPr>
                <w:rFonts w:hint="eastAsia"/>
                <w:sz w:val="21"/>
                <w:szCs w:val="21"/>
              </w:rPr>
              <w:t>人，满足</w:t>
            </w:r>
            <w:r>
              <w:rPr>
                <w:rFonts w:hint="eastAsia"/>
                <w:sz w:val="21"/>
                <w:szCs w:val="21"/>
                <w:lang w:val="en-US" w:eastAsia="zh-CN"/>
              </w:rPr>
              <w:t>生产服务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sz w:val="20"/>
                <w:szCs w:val="20"/>
              </w:rPr>
            </w:pPr>
            <w:r>
              <w:rPr>
                <w:rFonts w:hint="eastAsia" w:ascii="宋体" w:hAnsi="宋体"/>
                <w:b/>
                <w:color w:val="000000"/>
                <w:sz w:val="20"/>
                <w:szCs w:val="20"/>
                <w:lang w:val="en-US" w:eastAsia="zh-CN"/>
              </w:rPr>
              <w:t>2.</w:t>
            </w:r>
            <w:r>
              <w:rPr>
                <w:rFonts w:hint="eastAsia" w:ascii="宋体" w:hAnsi="宋体"/>
                <w:b/>
                <w:color w:val="000000"/>
                <w:sz w:val="20"/>
                <w:szCs w:val="20"/>
              </w:rPr>
              <w:t>设备设施（包括信息系统）</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sz w:val="21"/>
                <w:szCs w:val="21"/>
              </w:rPr>
              <w:t>配备有</w:t>
            </w:r>
            <w:r>
              <w:rPr>
                <w:rFonts w:hint="eastAsia"/>
                <w:sz w:val="21"/>
                <w:szCs w:val="21"/>
                <w:lang w:eastAsia="zh-CN"/>
              </w:rPr>
              <w:t>办公室、</w:t>
            </w:r>
            <w:r>
              <w:rPr>
                <w:rFonts w:hint="eastAsia"/>
                <w:sz w:val="21"/>
                <w:szCs w:val="21"/>
                <w:lang w:val="en-US" w:eastAsia="zh-CN"/>
              </w:rPr>
              <w:t>厂房、库房</w:t>
            </w:r>
            <w:r>
              <w:rPr>
                <w:rFonts w:hint="eastAsia"/>
                <w:sz w:val="21"/>
                <w:szCs w:val="21"/>
              </w:rPr>
              <w:t>等基础设施，生产设备有</w:t>
            </w:r>
            <w:r>
              <w:rPr>
                <w:rFonts w:hint="eastAsia" w:ascii="宋体" w:hAnsi="宋体" w:eastAsia="宋体" w:cs="宋体"/>
                <w:sz w:val="21"/>
                <w:szCs w:val="21"/>
              </w:rPr>
              <w:t>螺杆槽数控铣床、数字车床、数控管子螺纹车床、卧室车床、摇臂钻床、牛头铇床、万能铣床、转子抛光机、喷焊机、无心磨床、珩磨床、校直</w:t>
            </w:r>
            <w:r>
              <w:rPr>
                <w:rFonts w:hint="eastAsia"/>
                <w:sz w:val="21"/>
                <w:szCs w:val="21"/>
              </w:rPr>
              <w:t>机、锯床、行车、电焊机，满足</w:t>
            </w:r>
            <w:r>
              <w:rPr>
                <w:rFonts w:hint="eastAsia"/>
                <w:sz w:val="21"/>
                <w:szCs w:val="21"/>
                <w:lang w:val="en-US" w:eastAsia="zh-CN"/>
              </w:rPr>
              <w:t>生产</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sz w:val="20"/>
                <w:szCs w:val="20"/>
              </w:rPr>
            </w:pPr>
            <w:r>
              <w:rPr>
                <w:rFonts w:hint="eastAsia" w:ascii="宋体" w:hAnsi="宋体"/>
                <w:b/>
                <w:color w:val="000000"/>
                <w:sz w:val="20"/>
                <w:szCs w:val="20"/>
                <w:lang w:val="en-US" w:eastAsia="zh-CN"/>
              </w:rPr>
              <w:t>3.</w:t>
            </w:r>
            <w:r>
              <w:rPr>
                <w:rFonts w:hint="eastAsia" w:ascii="宋体" w:hAnsi="宋体"/>
                <w:b/>
                <w:color w:val="000000"/>
                <w:sz w:val="20"/>
                <w:szCs w:val="20"/>
              </w:rPr>
              <w:t>过程运行环境</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cs="宋体"/>
                <w:sz w:val="21"/>
                <w:szCs w:val="21"/>
                <w:lang w:val="en-US" w:eastAsia="zh-CN"/>
              </w:rPr>
              <w:t>公司</w:t>
            </w:r>
            <w:r>
              <w:rPr>
                <w:rFonts w:hint="eastAsia" w:cs="宋体"/>
                <w:sz w:val="21"/>
                <w:szCs w:val="21"/>
              </w:rPr>
              <w:t>位于</w:t>
            </w:r>
            <w:r>
              <w:rPr>
                <w:rFonts w:ascii="宋体" w:hAnsi="宋体" w:eastAsia="宋体"/>
                <w:sz w:val="20"/>
              </w:rPr>
              <w:t>盐城市盐都大冈镇卧龙西路88号</w:t>
            </w:r>
            <w:r>
              <w:rPr>
                <w:rFonts w:hint="eastAsia" w:cs="宋体"/>
                <w:sz w:val="21"/>
                <w:szCs w:val="21"/>
              </w:rPr>
              <w:t>，</w:t>
            </w:r>
            <w:r>
              <w:rPr>
                <w:rFonts w:hint="eastAsia"/>
                <w:sz w:val="21"/>
                <w:szCs w:val="21"/>
              </w:rPr>
              <w:t>占地面积</w:t>
            </w:r>
            <w:r>
              <w:rPr>
                <w:rFonts w:hint="eastAsia"/>
                <w:sz w:val="21"/>
                <w:szCs w:val="21"/>
                <w:lang w:val="en-US" w:eastAsia="zh-CN"/>
              </w:rPr>
              <w:t>114</w:t>
            </w:r>
            <w:r>
              <w:rPr>
                <w:rFonts w:hint="eastAsia"/>
                <w:sz w:val="21"/>
                <w:szCs w:val="21"/>
              </w:rPr>
              <w:t>00平米，其中办公面积约100</w:t>
            </w:r>
            <w:r>
              <w:rPr>
                <w:rFonts w:hint="eastAsia"/>
                <w:sz w:val="21"/>
                <w:szCs w:val="21"/>
                <w:lang w:val="en-US" w:eastAsia="zh-CN"/>
              </w:rPr>
              <w:t>0</w:t>
            </w:r>
            <w:r>
              <w:rPr>
                <w:rFonts w:hint="eastAsia"/>
                <w:sz w:val="21"/>
                <w:szCs w:val="21"/>
              </w:rPr>
              <w:t>平米，生产车间约3</w:t>
            </w:r>
            <w:r>
              <w:rPr>
                <w:rFonts w:hint="eastAsia"/>
                <w:sz w:val="21"/>
                <w:szCs w:val="21"/>
                <w:lang w:val="en-US" w:eastAsia="zh-CN"/>
              </w:rPr>
              <w:t>8</w:t>
            </w:r>
            <w:r>
              <w:rPr>
                <w:rFonts w:hint="eastAsia"/>
                <w:sz w:val="21"/>
                <w:szCs w:val="21"/>
              </w:rPr>
              <w:t>00平米</w:t>
            </w:r>
            <w:r>
              <w:rPr>
                <w:rFonts w:hint="eastAsia"/>
                <w:sz w:val="21"/>
                <w:szCs w:val="21"/>
                <w:lang w:val="en-US" w:eastAsia="zh-CN"/>
              </w:rPr>
              <w:t>，</w:t>
            </w:r>
            <w:r>
              <w:rPr>
                <w:rFonts w:hint="eastAsia"/>
                <w:sz w:val="21"/>
                <w:szCs w:val="21"/>
                <w:lang w:eastAsia="zh-CN"/>
              </w:rPr>
              <w:t>布局合理，场所卫生干净整洁，工作环境</w:t>
            </w:r>
            <w:r>
              <w:rPr>
                <w:rFonts w:hint="eastAsia"/>
                <w:sz w:val="21"/>
                <w:szCs w:val="21"/>
                <w:lang w:val="en-US" w:eastAsia="zh-CN"/>
              </w:rPr>
              <w:t>一般</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sz w:val="20"/>
                <w:szCs w:val="20"/>
              </w:rPr>
            </w:pPr>
            <w:r>
              <w:rPr>
                <w:rFonts w:hint="eastAsia" w:ascii="宋体" w:hAnsi="宋体"/>
                <w:b/>
                <w:color w:val="000000"/>
                <w:sz w:val="20"/>
                <w:szCs w:val="20"/>
                <w:lang w:val="en-US" w:eastAsia="zh-CN"/>
              </w:rPr>
              <w:t>4.</w:t>
            </w:r>
            <w:r>
              <w:rPr>
                <w:rFonts w:hint="eastAsia" w:ascii="宋体" w:hAnsi="宋体"/>
                <w:b/>
                <w:color w:val="000000"/>
                <w:sz w:val="20"/>
                <w:szCs w:val="20"/>
              </w:rPr>
              <w:t>监视和测量资源</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sz w:val="21"/>
                <w:szCs w:val="21"/>
              </w:rPr>
              <w:t>石油管螺纹扣规、螺纹规、镀铬层测厚仪、浮标式气动量仪、里氏硬度计、深度尺、千分尺、游标卡尺、內爪卡尺、高度尺</w:t>
            </w:r>
            <w:r>
              <w:rPr>
                <w:rFonts w:hint="eastAsia" w:cs="Times New Roman"/>
                <w:sz w:val="21"/>
                <w:szCs w:val="21"/>
                <w:lang w:val="en-US" w:eastAsia="zh-CN"/>
              </w:rPr>
              <w:t>等</w:t>
            </w:r>
            <w:r>
              <w:rPr>
                <w:rFonts w:hint="eastAsia" w:ascii="宋体" w:hAnsi="宋体"/>
                <w:b w:val="0"/>
                <w:bCs/>
                <w:color w:val="000000"/>
                <w:sz w:val="21"/>
                <w:szCs w:val="21"/>
                <w:lang w:val="en-US" w:eastAsia="zh-CN"/>
              </w:rPr>
              <w:t>，</w:t>
            </w:r>
            <w:r>
              <w:rPr>
                <w:rFonts w:hint="eastAsia" w:ascii="宋体" w:hAnsi="宋体" w:cs="Times New Roman"/>
                <w:b w:val="0"/>
                <w:bCs/>
                <w:color w:val="000000"/>
                <w:sz w:val="21"/>
                <w:szCs w:val="21"/>
                <w:lang w:val="en-US" w:eastAsia="zh-CN"/>
              </w:rPr>
              <w:t>现场提供的校准证书有效。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sz w:val="20"/>
                <w:szCs w:val="20"/>
              </w:rPr>
            </w:pPr>
            <w:r>
              <w:rPr>
                <w:rFonts w:hint="eastAsia" w:ascii="宋体" w:hAnsi="宋体"/>
                <w:b/>
                <w:color w:val="000000"/>
                <w:sz w:val="20"/>
                <w:szCs w:val="20"/>
                <w:lang w:val="en-US" w:eastAsia="zh-CN"/>
              </w:rPr>
              <w:t>5.</w:t>
            </w:r>
            <w:r>
              <w:rPr>
                <w:rFonts w:hint="eastAsia" w:ascii="宋体" w:hAnsi="宋体"/>
                <w:b/>
                <w:color w:val="000000"/>
                <w:sz w:val="20"/>
                <w:szCs w:val="20"/>
              </w:rPr>
              <w:t>知识</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sz w:val="21"/>
                <w:szCs w:val="21"/>
              </w:rPr>
              <w:t>公司对法律法规及其他要求进行了获取，包括质量法、合同法、环境保护法、劳动法、消防法、环境空气质量标准、固体废弃物环境防治法、仓库防火安全管理规则、劳动保护用品管理规定、GB12348-2008《工业企业厂界环境噪声排放标准》、GB3095-2012《环境空气质量标准》、</w:t>
            </w:r>
            <w:r>
              <w:rPr>
                <w:sz w:val="21"/>
                <w:szCs w:val="21"/>
              </w:rPr>
              <w:t>GBZ2-200</w:t>
            </w:r>
            <w:r>
              <w:rPr>
                <w:rFonts w:hint="eastAsia"/>
                <w:sz w:val="21"/>
                <w:szCs w:val="21"/>
              </w:rPr>
              <w:t>7《</w:t>
            </w:r>
            <w:r>
              <w:rPr>
                <w:sz w:val="21"/>
                <w:szCs w:val="21"/>
              </w:rPr>
              <w:t>工作场所有害因素职业接触限值</w:t>
            </w:r>
            <w:r>
              <w:rPr>
                <w:rFonts w:hint="eastAsia"/>
                <w:sz w:val="21"/>
                <w:szCs w:val="21"/>
              </w:rPr>
              <w:t>》、</w:t>
            </w:r>
            <w:r>
              <w:rPr>
                <w:rFonts w:hint="eastAsia"/>
                <w:b w:val="0"/>
                <w:bCs/>
                <w:sz w:val="20"/>
                <w:szCs w:val="22"/>
                <w:lang w:val="en-US" w:eastAsia="zh-CN"/>
              </w:rPr>
              <w:t>GB/T18607-2008《抽油泵机器组件规范》、GB/T21411.1-2014《螺杆式抽油泵》、GB/T18607-2017《石油天然气工业  钻井和采油设备  往复式整桶抽油泵》、GB/T21411.2-2009《石油天然气工业井下设备 人工举升用螺杆泵系统第二部分：地面驱动装置》</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宋体" w:hAnsi="宋体"/>
                <w:b/>
                <w:color w:val="000000"/>
                <w:sz w:val="20"/>
                <w:szCs w:val="20"/>
                <w:lang w:val="en-US" w:eastAsia="zh-CN"/>
              </w:rPr>
              <w:t>6.</w:t>
            </w:r>
            <w:r>
              <w:rPr>
                <w:rFonts w:hint="eastAsia" w:ascii="宋体" w:hAnsi="宋体"/>
                <w:b/>
                <w:color w:val="000000"/>
                <w:sz w:val="20"/>
                <w:szCs w:val="20"/>
              </w:rPr>
              <w:t>环保设施：</w:t>
            </w:r>
            <w:r>
              <w:rPr>
                <w:rFonts w:hint="eastAsia"/>
                <w:sz w:val="21"/>
                <w:szCs w:val="21"/>
                <w:lang w:val="en-US" w:eastAsia="zh-CN"/>
              </w:rPr>
              <w:t>灭火器、集气罩</w:t>
            </w:r>
            <w:r>
              <w:rPr>
                <w:rFonts w:hint="eastAsia"/>
                <w:sz w:val="21"/>
                <w:szCs w:val="21"/>
              </w:rPr>
              <w:t>、</w:t>
            </w:r>
            <w:r>
              <w:rPr>
                <w:rFonts w:hint="eastAsia"/>
                <w:sz w:val="21"/>
                <w:szCs w:val="21"/>
                <w:lang w:val="en-US" w:eastAsia="zh-CN"/>
              </w:rPr>
              <w:t>布袋除尘装置、排气筒、</w:t>
            </w:r>
            <w:r>
              <w:rPr>
                <w:rFonts w:hint="eastAsia"/>
                <w:sz w:val="21"/>
                <w:szCs w:val="21"/>
              </w:rPr>
              <w:t>减震</w:t>
            </w:r>
            <w:r>
              <w:rPr>
                <w:rFonts w:hint="eastAsia"/>
                <w:sz w:val="21"/>
                <w:szCs w:val="21"/>
                <w:lang w:val="en-US" w:eastAsia="zh-CN"/>
              </w:rPr>
              <w:t>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宋体" w:hAnsi="宋体"/>
                <w:b/>
                <w:color w:val="000000"/>
                <w:sz w:val="20"/>
                <w:szCs w:val="20"/>
                <w:lang w:val="en-US" w:eastAsia="zh-CN"/>
              </w:rPr>
              <w:t>7.</w:t>
            </w:r>
            <w:r>
              <w:rPr>
                <w:rFonts w:hint="eastAsia" w:ascii="宋体" w:hAnsi="宋体"/>
                <w:b/>
                <w:color w:val="000000"/>
                <w:sz w:val="20"/>
                <w:szCs w:val="20"/>
              </w:rPr>
              <w:t>职业健康安全设施：</w:t>
            </w:r>
            <w:r>
              <w:rPr>
                <w:rFonts w:hint="eastAsia"/>
                <w:sz w:val="21"/>
                <w:szCs w:val="21"/>
                <w:lang w:val="en-US" w:eastAsia="zh-CN"/>
              </w:rPr>
              <w:t>灭火器、警示牌、</w:t>
            </w:r>
            <w:r>
              <w:rPr>
                <w:rFonts w:hint="eastAsia"/>
                <w:sz w:val="21"/>
                <w:szCs w:val="21"/>
              </w:rPr>
              <w:t>监视探头、录像主机、监视屏</w:t>
            </w:r>
            <w:r>
              <w:rPr>
                <w:rFonts w:hint="eastAsia"/>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000000"/>
                <w:sz w:val="20"/>
                <w:szCs w:val="20"/>
              </w:rPr>
            </w:pPr>
            <w:r>
              <w:rPr>
                <w:rFonts w:hint="eastAsia"/>
                <w:b/>
                <w:color w:val="000000"/>
                <w:sz w:val="20"/>
                <w:szCs w:val="20"/>
              </w:rPr>
              <w:t>1. 针对方针的管理职责评审</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sz w:val="21"/>
                <w:szCs w:val="21"/>
                <w:lang w:eastAsia="zh-CN"/>
              </w:rPr>
            </w:pPr>
            <w:r>
              <w:rPr>
                <w:rFonts w:hint="eastAsia" w:cs="宋体"/>
                <w:sz w:val="21"/>
                <w:szCs w:val="21"/>
              </w:rPr>
              <w:t>管理方针：</w:t>
            </w:r>
            <w:r>
              <w:rPr>
                <w:rFonts w:hint="eastAsia"/>
                <w:sz w:val="21"/>
                <w:szCs w:val="21"/>
              </w:rPr>
              <w:t>质量精益求精，服务及时周到；实现污染预防，注重节能降耗；及时消除隐患，保障健康安全；遵守法律法规，坚持持续改进</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keepNext w:val="0"/>
              <w:keepLines w:val="0"/>
              <w:pageBreakBefore w:val="0"/>
              <w:kinsoku/>
              <w:wordWrap/>
              <w:overflowPunct/>
              <w:topLinePunct w:val="0"/>
              <w:autoSpaceDE/>
              <w:autoSpaceDN/>
              <w:bidi w:val="0"/>
              <w:adjustRightInd/>
              <w:snapToGrid/>
              <w:spacing w:line="320" w:lineRule="exact"/>
              <w:ind w:left="1" w:leftChars="0"/>
              <w:textAlignment w:val="auto"/>
              <w:rPr>
                <w:rFonts w:ascii="宋体" w:hAnsi="宋体"/>
                <w:b/>
                <w:sz w:val="21"/>
                <w:szCs w:val="21"/>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numPr>
                <w:ilvl w:val="0"/>
                <w:numId w:val="4"/>
              </w:numPr>
              <w:kinsoku/>
              <w:wordWrap/>
              <w:overflowPunct/>
              <w:topLinePunct w:val="0"/>
              <w:autoSpaceDE/>
              <w:autoSpaceDN/>
              <w:bidi w:val="0"/>
              <w:adjustRightInd/>
              <w:snapToGrid/>
              <w:spacing w:line="320" w:lineRule="exact"/>
              <w:textAlignment w:val="auto"/>
              <w:rPr>
                <w:rFonts w:hint="eastAsia"/>
                <w:b/>
                <w:color w:val="000000"/>
                <w:sz w:val="20"/>
                <w:szCs w:val="20"/>
              </w:rPr>
            </w:pPr>
            <w:r>
              <w:rPr>
                <w:rFonts w:hint="eastAsia"/>
                <w:b/>
                <w:color w:val="000000"/>
                <w:sz w:val="20"/>
                <w:szCs w:val="20"/>
              </w:rPr>
              <w:t>组织内部沟通的充分性与效果</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ascii="楷体_GB2312" w:eastAsia="楷体_GB2312"/>
                <w:b/>
                <w:color w:val="000000"/>
                <w:sz w:val="20"/>
                <w:szCs w:val="20"/>
              </w:rPr>
            </w:pPr>
            <w:r>
              <w:rPr>
                <w:rFonts w:hint="eastAsia" w:ascii="楷体_GB2312" w:eastAsia="楷体_GB2312"/>
                <w:b/>
                <w:color w:val="000000"/>
                <w:sz w:val="20"/>
                <w:szCs w:val="20"/>
              </w:rPr>
              <w:t>内部沟通的情况：内部沟通方式：</w:t>
            </w:r>
            <w:r>
              <w:rPr>
                <w:rFonts w:hint="eastAsia" w:ascii="宋体" w:hAnsi="宋体"/>
                <w:sz w:val="21"/>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sz w:val="20"/>
                <w:szCs w:val="20"/>
              </w:rPr>
            </w:pPr>
            <w:r>
              <w:rPr>
                <w:rFonts w:hint="eastAsia" w:ascii="楷体_GB2312" w:eastAsia="楷体_GB2312"/>
                <w:b/>
                <w:color w:val="000000"/>
                <w:sz w:val="20"/>
                <w:szCs w:val="20"/>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sz w:val="21"/>
                <w:szCs w:val="21"/>
              </w:rPr>
            </w:pPr>
            <w:r>
              <w:rPr>
                <w:rFonts w:hint="eastAsia" w:ascii="楷体_GB2312" w:eastAsia="楷体_GB2312"/>
                <w:b/>
                <w:color w:val="000000"/>
                <w:sz w:val="20"/>
                <w:szCs w:val="20"/>
              </w:rPr>
              <w:t>外部信息的接收、成文并答复的情况：</w:t>
            </w:r>
            <w:r>
              <w:rPr>
                <w:rFonts w:hint="eastAsia" w:ascii="宋体" w:hAnsi="宋体"/>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sz w:val="21"/>
                <w:szCs w:val="21"/>
              </w:rPr>
            </w:pPr>
            <w:r>
              <w:rPr>
                <w:rFonts w:hint="eastAsia" w:ascii="楷体_GB2312" w:eastAsia="楷体_GB2312"/>
                <w:b/>
                <w:color w:val="000000"/>
                <w:sz w:val="20"/>
                <w:szCs w:val="20"/>
              </w:rPr>
              <w:t>重要环境因素信息对外交流情况：</w:t>
            </w:r>
            <w:r>
              <w:rPr>
                <w:rFonts w:hint="eastAsia" w:ascii="宋体" w:hAnsi="宋体"/>
                <w:sz w:val="21"/>
                <w:szCs w:val="21"/>
              </w:rPr>
              <w:t>外部沟通：文件、电话、面谈、传真等，主要与顾客、供方、上级主管部门的沟通，目前各项沟通都较为顺畅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szCs w:val="21"/>
              </w:rPr>
            </w:pPr>
            <w:r>
              <w:rPr>
                <w:rFonts w:hint="eastAsia" w:ascii="楷体_GB2312" w:eastAsia="楷体_GB2312"/>
                <w:b/>
                <w:color w:val="000000"/>
                <w:sz w:val="20"/>
                <w:szCs w:val="20"/>
              </w:rPr>
              <w:t>OHSMS事务代表协商和交流的情况：</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楷体_GB2312" w:eastAsia="楷体_GB2312"/>
                <w:b/>
                <w:color w:val="000000"/>
                <w:sz w:val="20"/>
                <w:szCs w:val="20"/>
              </w:rPr>
              <w:t>与相关方协商的情况</w:t>
            </w:r>
            <w:r>
              <w:rPr>
                <w:rFonts w:hint="eastAsia" w:ascii="楷体_GB2312" w:eastAsia="楷体_GB2312"/>
                <w:b/>
                <w:color w:val="000000"/>
                <w:szCs w:val="21"/>
              </w:rPr>
              <w:t>：</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numPr>
                <w:ilvl w:val="0"/>
                <w:numId w:val="4"/>
              </w:numPr>
              <w:kinsoku/>
              <w:wordWrap/>
              <w:overflowPunct/>
              <w:topLinePunct w:val="0"/>
              <w:autoSpaceDE/>
              <w:autoSpaceDN/>
              <w:bidi w:val="0"/>
              <w:adjustRightInd/>
              <w:snapToGrid/>
              <w:spacing w:line="320" w:lineRule="exact"/>
              <w:ind w:left="0" w:leftChars="0" w:firstLine="0" w:firstLineChars="0"/>
              <w:textAlignment w:val="auto"/>
              <w:rPr>
                <w:rFonts w:hint="eastAsia"/>
                <w:b/>
                <w:sz w:val="21"/>
                <w:szCs w:val="21"/>
              </w:rPr>
            </w:pPr>
            <w:r>
              <w:rPr>
                <w:b/>
                <w:sz w:val="21"/>
                <w:szCs w:val="21"/>
              </w:rPr>
              <w:t xml:space="preserve"> QMS </w:t>
            </w:r>
            <w:r>
              <w:rPr>
                <w:rFonts w:hint="eastAsia"/>
                <w:b/>
                <w:sz w:val="21"/>
                <w:szCs w:val="21"/>
              </w:rPr>
              <w:t>组织对重要过程实施控制的结果</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ascii="Times New Roman" w:hAnsi="Times New Roman" w:cs="Times New Roman"/>
                <w:sz w:val="21"/>
                <w:szCs w:val="21"/>
              </w:rPr>
            </w:pPr>
            <w:r>
              <w:rPr>
                <w:rFonts w:hint="eastAsia" w:ascii="Times New Roman" w:hAnsi="Times New Roman" w:cs="Times New Roman"/>
                <w:sz w:val="21"/>
                <w:szCs w:val="21"/>
              </w:rPr>
              <w:t>产品和服务要求</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主要根据顾客提出的产品要求/标书中明示产品要求/产品执行的技术指标等进行控制，严格按要求进行了合同评审—确保能满足客户需求，控制情况较好。</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rPr>
              <w:t>采购过程控制：首先编制采购产品验收规范等作业文件规定采购产品质量要求；其次对</w:t>
            </w:r>
            <w:r>
              <w:rPr>
                <w:rFonts w:hint="eastAsia" w:ascii="Times New Roman" w:hAnsi="Times New Roman" w:cs="Times New Roman"/>
                <w:sz w:val="21"/>
                <w:szCs w:val="21"/>
                <w:lang w:eastAsia="zh-CN"/>
              </w:rPr>
              <w:t>供方</w:t>
            </w:r>
            <w:r>
              <w:rPr>
                <w:rFonts w:hint="eastAsia" w:ascii="Times New Roman" w:hAnsi="Times New Roman" w:cs="Times New Roman"/>
                <w:sz w:val="21"/>
                <w:szCs w:val="21"/>
              </w:rPr>
              <w:t>进行了评价，保证采购产品</w:t>
            </w:r>
            <w:r>
              <w:rPr>
                <w:rFonts w:hint="eastAsia" w:ascii="Times New Roman" w:hAnsi="Times New Roman" w:cs="Times New Roman"/>
                <w:sz w:val="21"/>
                <w:szCs w:val="21"/>
                <w:lang w:val="en-US" w:eastAsia="zh-CN"/>
              </w:rPr>
              <w:t>/服务</w:t>
            </w:r>
            <w:r>
              <w:rPr>
                <w:rFonts w:hint="eastAsia" w:ascii="Times New Roman" w:hAnsi="Times New Roman" w:cs="Times New Roman"/>
                <w:sz w:val="21"/>
                <w:szCs w:val="21"/>
              </w:rPr>
              <w:t>的质量符合公司要求；通过制定采购计划实施采购，</w:t>
            </w:r>
            <w:r>
              <w:rPr>
                <w:rFonts w:hint="eastAsia" w:ascii="Times New Roman" w:hAnsi="Times New Roman" w:cs="Times New Roman"/>
                <w:sz w:val="21"/>
                <w:szCs w:val="21"/>
                <w:lang w:eastAsia="zh-CN"/>
              </w:rPr>
              <w:t>目前控制状况良好</w:t>
            </w:r>
            <w:r>
              <w:rPr>
                <w:rFonts w:hint="eastAsia"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生产和服务提供：</w:t>
            </w:r>
            <w:r>
              <w:rPr>
                <w:rFonts w:hint="eastAsia" w:ascii="Times New Roman" w:hAnsi="Times New Roman" w:cs="Times New Roman"/>
                <w:sz w:val="21"/>
                <w:szCs w:val="21"/>
                <w:lang w:val="en-GB"/>
              </w:rPr>
              <w:t>依据产品标准、客户要求进行</w:t>
            </w:r>
            <w:r>
              <w:rPr>
                <w:rFonts w:hint="eastAsia" w:cs="Times New Roman"/>
                <w:sz w:val="21"/>
                <w:szCs w:val="21"/>
                <w:lang w:val="en-US" w:eastAsia="zh-CN"/>
              </w:rPr>
              <w:t>生产</w:t>
            </w:r>
            <w:r>
              <w:rPr>
                <w:rFonts w:hint="eastAsia" w:ascii="Times New Roman" w:hAnsi="Times New Roman" w:cs="Times New Roman"/>
                <w:sz w:val="21"/>
                <w:szCs w:val="21"/>
                <w:lang w:val="en-GB"/>
              </w:rPr>
              <w:t>，</w:t>
            </w:r>
            <w:r>
              <w:rPr>
                <w:rFonts w:hint="eastAsia" w:ascii="Times New Roman" w:hAnsi="Times New Roman" w:cs="Times New Roman"/>
                <w:sz w:val="21"/>
                <w:szCs w:val="21"/>
              </w:rPr>
              <w:t>明确了质量标准等，编制了《</w:t>
            </w:r>
            <w:r>
              <w:rPr>
                <w:rFonts w:hint="eastAsia" w:cs="Times New Roman"/>
                <w:sz w:val="21"/>
                <w:szCs w:val="21"/>
                <w:lang w:val="en-US" w:eastAsia="zh-CN"/>
              </w:rPr>
              <w:t>机加工</w:t>
            </w:r>
            <w:r>
              <w:rPr>
                <w:rFonts w:hint="eastAsia" w:ascii="Times New Roman" w:hAnsi="Times New Roman" w:cs="Times New Roman"/>
                <w:sz w:val="21"/>
                <w:szCs w:val="21"/>
              </w:rPr>
              <w:t>工艺要求》、《</w:t>
            </w:r>
            <w:r>
              <w:rPr>
                <w:rFonts w:hint="eastAsia" w:cs="Times New Roman"/>
                <w:sz w:val="21"/>
                <w:szCs w:val="21"/>
                <w:lang w:val="en-US" w:eastAsia="zh-CN"/>
              </w:rPr>
              <w:t>设备</w:t>
            </w:r>
            <w:r>
              <w:rPr>
                <w:rFonts w:hint="eastAsia" w:ascii="Times New Roman" w:hAnsi="Times New Roman" w:cs="Times New Roman"/>
                <w:sz w:val="21"/>
                <w:szCs w:val="21"/>
              </w:rPr>
              <w:t>安全操作规程》、《安全生产管理制度》，对主要生产加工</w:t>
            </w:r>
            <w:r>
              <w:rPr>
                <w:rFonts w:hint="eastAsia" w:ascii="Times New Roman" w:hAnsi="Times New Roman" w:cs="Times New Roman"/>
                <w:sz w:val="21"/>
                <w:szCs w:val="21"/>
                <w:lang w:eastAsia="zh-CN"/>
              </w:rPr>
              <w:t>及销售服务</w:t>
            </w:r>
            <w:r>
              <w:rPr>
                <w:rFonts w:hint="eastAsia" w:ascii="Times New Roman" w:hAnsi="Times New Roman" w:cs="Times New Roman"/>
                <w:sz w:val="21"/>
                <w:szCs w:val="21"/>
              </w:rPr>
              <w:t>各个过</w:t>
            </w:r>
            <w:r>
              <w:rPr>
                <w:rFonts w:hint="eastAsia"/>
                <w:sz w:val="21"/>
                <w:szCs w:val="21"/>
              </w:rPr>
              <w:t>程、因素进行控制。</w:t>
            </w:r>
            <w:r>
              <w:rPr>
                <w:rFonts w:hint="eastAsia" w:ascii="宋体" w:hAnsi="宋体"/>
                <w:sz w:val="21"/>
                <w:szCs w:val="21"/>
                <w:lang w:val="en-GB"/>
              </w:rPr>
              <w:t>现场查看</w:t>
            </w:r>
            <w:r>
              <w:rPr>
                <w:rFonts w:hint="eastAsia" w:ascii="宋体" w:hAnsi="宋体"/>
                <w:sz w:val="21"/>
                <w:szCs w:val="21"/>
                <w:lang w:val="en-US" w:eastAsia="zh-CN"/>
              </w:rPr>
              <w:t>机加工</w:t>
            </w:r>
            <w:r>
              <w:rPr>
                <w:rFonts w:hint="eastAsia" w:ascii="宋体" w:hAnsi="宋体"/>
                <w:sz w:val="21"/>
                <w:szCs w:val="21"/>
                <w:lang w:val="en-GB"/>
              </w:rPr>
              <w:t>情况，均按照要求进行操作</w:t>
            </w:r>
            <w:r>
              <w:rPr>
                <w:rFonts w:hint="eastAsia"/>
                <w:sz w:val="21"/>
                <w:szCs w:val="21"/>
              </w:rPr>
              <w:t>，目前生产和服务过程控制情况较好</w:t>
            </w:r>
            <w:r>
              <w:rPr>
                <w:rFonts w:hint="eastAsia" w:ascii="宋体" w:hAnsi="宋体"/>
                <w:sz w:val="21"/>
                <w:szCs w:val="21"/>
                <w:lang w:val="en-GB"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Times New Roman" w:hAnsi="Times New Roman" w:cs="Times New Roman"/>
                <w:sz w:val="21"/>
                <w:szCs w:val="21"/>
                <w:lang w:val="en-GB"/>
              </w:rPr>
              <w:t>产品检验：分为原材料</w:t>
            </w:r>
            <w:r>
              <w:rPr>
                <w:rFonts w:hint="eastAsia" w:cs="Times New Roman"/>
                <w:sz w:val="21"/>
                <w:szCs w:val="21"/>
                <w:lang w:val="en-GB" w:eastAsia="zh-CN"/>
              </w:rPr>
              <w:t>、</w:t>
            </w:r>
            <w:r>
              <w:rPr>
                <w:rFonts w:hint="eastAsia" w:cs="Times New Roman"/>
                <w:sz w:val="21"/>
                <w:szCs w:val="21"/>
                <w:lang w:val="en-US" w:eastAsia="zh-CN"/>
              </w:rPr>
              <w:t>过程检验</w:t>
            </w:r>
            <w:r>
              <w:rPr>
                <w:rFonts w:hint="eastAsia" w:ascii="Times New Roman" w:hAnsi="Times New Roman" w:cs="Times New Roman"/>
                <w:sz w:val="21"/>
                <w:szCs w:val="21"/>
                <w:lang w:val="en-GB" w:eastAsia="zh-CN"/>
              </w:rPr>
              <w:t>及</w:t>
            </w:r>
            <w:r>
              <w:rPr>
                <w:rFonts w:hint="eastAsia" w:ascii="Times New Roman" w:hAnsi="Times New Roman" w:cs="Times New Roman"/>
                <w:sz w:val="21"/>
                <w:szCs w:val="21"/>
                <w:lang w:val="en-GB"/>
              </w:rPr>
              <w:t>成品检验，原材料采取进货验证，</w:t>
            </w:r>
            <w:r>
              <w:rPr>
                <w:rFonts w:hint="eastAsia" w:cs="Times New Roman"/>
                <w:sz w:val="21"/>
                <w:szCs w:val="21"/>
                <w:lang w:val="en-US" w:eastAsia="zh-CN"/>
              </w:rPr>
              <w:t>过程检验为随工</w:t>
            </w:r>
            <w:r>
              <w:rPr>
                <w:rFonts w:hint="eastAsia" w:ascii="Times New Roman" w:hAnsi="Times New Roman" w:cs="Times New Roman"/>
                <w:sz w:val="21"/>
                <w:szCs w:val="21"/>
                <w:lang w:val="en-GB" w:eastAsia="zh-CN"/>
              </w:rPr>
              <w:t>检验</w:t>
            </w:r>
            <w:r>
              <w:rPr>
                <w:rFonts w:hint="eastAsia" w:ascii="Times New Roman" w:hAnsi="Times New Roman" w:cs="Times New Roman"/>
                <w:sz w:val="21"/>
                <w:szCs w:val="21"/>
                <w:lang w:val="en-GB"/>
              </w:rPr>
              <w:t>；原材料</w:t>
            </w:r>
            <w:r>
              <w:rPr>
                <w:rFonts w:hint="eastAsia" w:ascii="Times New Roman" w:hAnsi="Times New Roman" w:cs="Times New Roman"/>
                <w:sz w:val="21"/>
                <w:szCs w:val="21"/>
                <w:lang w:val="en-GB" w:eastAsia="zh-CN"/>
              </w:rPr>
              <w:t>主要为</w:t>
            </w:r>
            <w:r>
              <w:rPr>
                <w:rFonts w:hint="eastAsia"/>
                <w:sz w:val="21"/>
                <w:szCs w:val="21"/>
                <w:lang w:val="en-US" w:eastAsia="zh-CN"/>
              </w:rPr>
              <w:t>圆钢、无缝钢管、钢板、钢球</w:t>
            </w:r>
            <w:r>
              <w:rPr>
                <w:rFonts w:hint="eastAsia" w:ascii="Times New Roman" w:hAnsi="Times New Roman" w:cs="Times New Roman"/>
                <w:sz w:val="21"/>
                <w:szCs w:val="21"/>
                <w:lang w:val="en-US" w:eastAsia="zh-CN"/>
              </w:rPr>
              <w:t>等，</w:t>
            </w:r>
            <w:r>
              <w:rPr>
                <w:rFonts w:hint="eastAsia" w:ascii="Times New Roman" w:hAnsi="Times New Roman" w:cs="Times New Roman"/>
                <w:sz w:val="21"/>
                <w:szCs w:val="21"/>
                <w:lang w:val="en-GB" w:eastAsia="zh-CN"/>
              </w:rPr>
              <w:t>验证</w:t>
            </w:r>
            <w:r>
              <w:rPr>
                <w:rFonts w:hint="eastAsia" w:ascii="Times New Roman" w:hAnsi="Times New Roman" w:cs="Times New Roman"/>
                <w:sz w:val="21"/>
                <w:szCs w:val="21"/>
                <w:lang w:val="en-GB"/>
              </w:rPr>
              <w:t>项目有</w:t>
            </w:r>
            <w:r>
              <w:rPr>
                <w:rFonts w:hint="eastAsia" w:ascii="Times New Roman" w:hAnsi="Times New Roman" w:cs="Times New Roman"/>
                <w:sz w:val="21"/>
                <w:szCs w:val="21"/>
              </w:rPr>
              <w:t>数量</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外观</w:t>
            </w:r>
            <w:r>
              <w:rPr>
                <w:rFonts w:hint="eastAsia" w:ascii="Times New Roman" w:hAnsi="Times New Roman" w:cs="Times New Roman"/>
                <w:sz w:val="21"/>
                <w:szCs w:val="21"/>
                <w:lang w:val="en-US" w:eastAsia="zh-CN"/>
              </w:rPr>
              <w:t>/材质单</w:t>
            </w:r>
            <w:r>
              <w:rPr>
                <w:rFonts w:hint="eastAsia" w:ascii="Times New Roman" w:hAnsi="Times New Roman" w:cs="Times New Roman"/>
                <w:sz w:val="21"/>
                <w:szCs w:val="21"/>
                <w:lang w:val="en-GB"/>
              </w:rPr>
              <w:t>；</w:t>
            </w:r>
            <w:r>
              <w:rPr>
                <w:rFonts w:hint="eastAsia" w:cs="Times New Roman"/>
                <w:sz w:val="21"/>
                <w:szCs w:val="21"/>
                <w:lang w:val="en-US" w:eastAsia="zh-CN"/>
              </w:rPr>
              <w:t>过程检验</w:t>
            </w:r>
            <w:r>
              <w:rPr>
                <w:rFonts w:hint="eastAsia" w:ascii="Times New Roman" w:hAnsi="Times New Roman" w:cs="Times New Roman"/>
                <w:sz w:val="21"/>
                <w:szCs w:val="21"/>
                <w:lang w:val="en-GB" w:eastAsia="zh-CN"/>
              </w:rPr>
              <w:t>主要为关键工序检验</w:t>
            </w:r>
            <w:r>
              <w:rPr>
                <w:rFonts w:hint="eastAsia" w:ascii="Times New Roman" w:hAnsi="Times New Roman" w:cs="Times New Roman"/>
                <w:sz w:val="21"/>
                <w:szCs w:val="21"/>
                <w:lang w:val="en-US" w:eastAsia="zh-CN"/>
              </w:rPr>
              <w:t>，验证项目为</w:t>
            </w:r>
            <w:r>
              <w:rPr>
                <w:rFonts w:hint="eastAsia" w:cs="Times New Roman"/>
                <w:sz w:val="21"/>
                <w:szCs w:val="21"/>
                <w:lang w:val="en-US" w:eastAsia="zh-CN"/>
              </w:rPr>
              <w:t>操作符合性</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lang w:val="en-GB"/>
              </w:rPr>
              <w:t>成品检验</w:t>
            </w:r>
            <w:r>
              <w:rPr>
                <w:rFonts w:hint="eastAsia" w:ascii="Times New Roman" w:hAnsi="Times New Roman" w:cs="Times New Roman"/>
                <w:sz w:val="21"/>
                <w:szCs w:val="21"/>
                <w:lang w:val="en-GB" w:eastAsia="zh-CN"/>
              </w:rPr>
              <w:t>：检验</w:t>
            </w:r>
            <w:r>
              <w:rPr>
                <w:rFonts w:hint="eastAsia" w:ascii="Times New Roman" w:hAnsi="Times New Roman" w:cs="Times New Roman"/>
                <w:sz w:val="21"/>
                <w:szCs w:val="21"/>
                <w:lang w:eastAsia="zh-CN"/>
              </w:rPr>
              <w:t>项目有</w:t>
            </w:r>
            <w:r>
              <w:rPr>
                <w:rFonts w:hint="eastAsia"/>
                <w:sz w:val="21"/>
                <w:szCs w:val="21"/>
              </w:rPr>
              <w:t>外观、</w:t>
            </w:r>
            <w:r>
              <w:rPr>
                <w:rFonts w:hint="eastAsia"/>
                <w:sz w:val="21"/>
                <w:szCs w:val="21"/>
                <w:lang w:val="en-US" w:eastAsia="zh-CN"/>
              </w:rPr>
              <w:t>尺寸</w:t>
            </w:r>
            <w:r>
              <w:rPr>
                <w:rFonts w:hint="eastAsia"/>
                <w:sz w:val="21"/>
                <w:szCs w:val="21"/>
              </w:rPr>
              <w:t>、</w:t>
            </w:r>
            <w:r>
              <w:rPr>
                <w:rFonts w:hint="eastAsia"/>
                <w:sz w:val="21"/>
                <w:szCs w:val="21"/>
                <w:lang w:val="en-US" w:eastAsia="zh-CN"/>
              </w:rPr>
              <w:t>密封试验</w:t>
            </w:r>
            <w:r>
              <w:rPr>
                <w:rFonts w:hint="eastAsia" w:ascii="Times New Roman" w:hAnsi="Times New Roman" w:cs="Times New Roman"/>
                <w:sz w:val="21"/>
                <w:szCs w:val="21"/>
                <w:lang w:val="zh-CN"/>
              </w:rPr>
              <w:t>等</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提供</w:t>
            </w:r>
            <w:r>
              <w:rPr>
                <w:rFonts w:hint="eastAsia" w:ascii="Times New Roman" w:hAnsi="Times New Roman" w:cs="Times New Roman"/>
                <w:sz w:val="21"/>
                <w:szCs w:val="21"/>
                <w:lang w:eastAsia="zh-CN"/>
              </w:rPr>
              <w:t>原材料、</w:t>
            </w:r>
            <w:r>
              <w:rPr>
                <w:rFonts w:hint="eastAsia" w:cs="Times New Roman"/>
                <w:sz w:val="21"/>
                <w:szCs w:val="21"/>
                <w:lang w:val="en-US" w:eastAsia="zh-CN"/>
              </w:rPr>
              <w:t>过程</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产品检验记录</w:t>
            </w:r>
            <w:r>
              <w:rPr>
                <w:rFonts w:hint="eastAsia" w:ascii="Times New Roman" w:hAnsi="Times New Roman" w:cs="Times New Roman"/>
                <w:sz w:val="21"/>
                <w:szCs w:val="21"/>
                <w:lang w:eastAsia="zh-CN"/>
              </w:rPr>
              <w:t>。审核结论：产品的监视和测量符合要求。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jc w:val="left"/>
              <w:textAlignment w:val="auto"/>
              <w:rPr>
                <w:b/>
                <w:color w:val="000000"/>
                <w:sz w:val="21"/>
                <w:szCs w:val="21"/>
              </w:rPr>
            </w:pPr>
            <w:r>
              <w:rPr>
                <w:b/>
                <w:color w:val="000000"/>
                <w:sz w:val="21"/>
                <w:szCs w:val="21"/>
              </w:rPr>
              <w:t>4.QMS</w:t>
            </w:r>
            <w:r>
              <w:rPr>
                <w:rFonts w:hint="eastAsia"/>
                <w:b/>
                <w:color w:val="000000"/>
                <w:sz w:val="21"/>
                <w:szCs w:val="21"/>
              </w:rPr>
              <w:t>产品</w:t>
            </w:r>
            <w:r>
              <w:rPr>
                <w:b/>
                <w:color w:val="000000"/>
                <w:sz w:val="21"/>
                <w:szCs w:val="21"/>
              </w:rPr>
              <w:t>/</w:t>
            </w:r>
            <w:r>
              <w:rPr>
                <w:rFonts w:hint="eastAsia"/>
                <w:b/>
                <w:color w:val="000000"/>
                <w:sz w:val="21"/>
                <w:szCs w:val="21"/>
              </w:rPr>
              <w:t>服务的标准、协议</w:t>
            </w:r>
            <w:r>
              <w:rPr>
                <w:b/>
                <w:color w:val="000000"/>
                <w:sz w:val="21"/>
                <w:szCs w:val="21"/>
              </w:rPr>
              <w:t>/</w:t>
            </w:r>
            <w:r>
              <w:rPr>
                <w:rFonts w:hint="eastAsia"/>
                <w:b/>
                <w:color w:val="000000"/>
                <w:sz w:val="21"/>
                <w:szCs w:val="21"/>
              </w:rPr>
              <w:t>规范的有效性以及产品</w:t>
            </w:r>
            <w:r>
              <w:rPr>
                <w:b/>
                <w:color w:val="000000"/>
                <w:sz w:val="21"/>
                <w:szCs w:val="21"/>
              </w:rPr>
              <w:t>/</w:t>
            </w:r>
            <w:r>
              <w:rPr>
                <w:rFonts w:hint="eastAsia"/>
                <w:b/>
                <w:color w:val="000000"/>
                <w:sz w:val="21"/>
                <w:szCs w:val="21"/>
              </w:rPr>
              <w:t>服务质量符合要求，向顾客稳定提供合格产品的情况</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Times New Roman" w:hAnsi="Times New Roman" w:cs="Times New Roman"/>
                <w:sz w:val="21"/>
                <w:szCs w:val="21"/>
                <w:lang w:val="en-US" w:eastAsia="zh-CN"/>
              </w:rPr>
              <w:t>主要满足</w:t>
            </w:r>
            <w:r>
              <w:rPr>
                <w:rFonts w:hint="eastAsia"/>
                <w:b w:val="0"/>
                <w:bCs/>
                <w:sz w:val="20"/>
                <w:szCs w:val="22"/>
                <w:lang w:val="en-US" w:eastAsia="zh-CN"/>
              </w:rPr>
              <w:t>GB/T18607-2008《抽油泵机器组件规范》、GB/T21411.1-2014《螺杆式抽油泵》、GB/T18607-2017《石油天然气工业  钻井和采油设备  往复式整桶抽油泵》、GB/T21411.2-2009《石油天然气工业井下设备 人工举升用螺杆泵系统第二部分：地面驱动装置》</w:t>
            </w:r>
            <w:r>
              <w:rPr>
                <w:rFonts w:hint="eastAsia" w:ascii="Times New Roman" w:hAnsi="Times New Roman" w:cs="Times New Roman"/>
                <w:sz w:val="21"/>
                <w:szCs w:val="21"/>
                <w:lang w:val="en-US" w:eastAsia="zh-CN"/>
              </w:rPr>
              <w:t>及客户要求，目前向顾客提供的产品</w:t>
            </w:r>
            <w:r>
              <w:rPr>
                <w:rFonts w:hint="eastAsia" w:cs="Times New Roman"/>
                <w:sz w:val="21"/>
                <w:szCs w:val="21"/>
                <w:lang w:val="en-US" w:eastAsia="zh-CN"/>
              </w:rPr>
              <w:t>/服务</w:t>
            </w:r>
            <w:r>
              <w:rPr>
                <w:rFonts w:hint="eastAsia" w:ascii="Times New Roman" w:hAnsi="Times New Roman" w:cs="Times New Roman"/>
                <w:sz w:val="21"/>
                <w:szCs w:val="21"/>
                <w:lang w:val="en-US" w:eastAsia="zh-CN"/>
              </w:rPr>
              <w:t>均合格，提供有产品检验记录、客户验收记录。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b/>
                <w:color w:val="000000"/>
                <w:sz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spacing w:val="-8"/>
                <w:sz w:val="20"/>
                <w:szCs w:val="20"/>
                <w:lang w:eastAsia="zh-CN"/>
              </w:rPr>
            </w:pPr>
            <w:r>
              <w:rPr>
                <w:rFonts w:hint="eastAsia"/>
                <w:b/>
                <w:color w:val="000000"/>
                <w:sz w:val="20"/>
                <w:szCs w:val="20"/>
                <w:lang w:val="en-US" w:eastAsia="zh-CN"/>
              </w:rPr>
              <w:t>6</w:t>
            </w:r>
            <w:r>
              <w:rPr>
                <w:rFonts w:hint="eastAsia"/>
                <w:b/>
                <w:color w:val="000000"/>
                <w:sz w:val="20"/>
                <w:szCs w:val="20"/>
              </w:rPr>
              <w:t>.</w:t>
            </w:r>
            <w:r>
              <w:rPr>
                <w:rFonts w:hint="eastAsia"/>
                <w:b/>
                <w:color w:val="000000"/>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sz w:val="21"/>
                <w:szCs w:val="21"/>
              </w:rPr>
              <w:t>对于</w:t>
            </w:r>
            <w:r>
              <w:rPr>
                <w:rFonts w:hint="eastAsia"/>
                <w:sz w:val="21"/>
                <w:szCs w:val="21"/>
                <w:lang w:val="en-US" w:eastAsia="zh-CN"/>
              </w:rPr>
              <w:t>不合格项</w:t>
            </w:r>
            <w:r>
              <w:rPr>
                <w:rFonts w:hint="eastAsia"/>
                <w:sz w:val="21"/>
                <w:szCs w:val="21"/>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000000"/>
                <w:sz w:val="20"/>
                <w:szCs w:val="20"/>
              </w:rPr>
            </w:pPr>
            <w:r>
              <w:rPr>
                <w:rFonts w:hint="eastAsia"/>
                <w:b/>
                <w:color w:val="000000"/>
                <w:sz w:val="20"/>
                <w:szCs w:val="20"/>
                <w:lang w:val="en-US" w:eastAsia="zh-CN"/>
              </w:rPr>
              <w:t>7</w:t>
            </w:r>
            <w:r>
              <w:rPr>
                <w:rFonts w:hint="eastAsia"/>
                <w:b/>
                <w:color w:val="000000"/>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sz w:val="21"/>
                <w:szCs w:val="21"/>
                <w:lang w:val="en-GB"/>
              </w:rPr>
              <w:t>编制</w:t>
            </w:r>
            <w:r>
              <w:rPr>
                <w:rFonts w:hint="eastAsia"/>
                <w:sz w:val="21"/>
                <w:szCs w:val="21"/>
              </w:rPr>
              <w:t>环境运行控制程序，固体废弃物管理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w:t>
            </w:r>
            <w:r>
              <w:rPr>
                <w:rFonts w:hint="eastAsia"/>
                <w:sz w:val="21"/>
                <w:szCs w:val="21"/>
                <w:lang w:val="en-US" w:eastAsia="zh-CN"/>
              </w:rPr>
              <w:t>噪声排放、</w:t>
            </w:r>
            <w:r>
              <w:rPr>
                <w:rFonts w:hint="eastAsia"/>
                <w:sz w:val="21"/>
                <w:szCs w:val="21"/>
              </w:rPr>
              <w:t>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现场查看办公区域干净整洁，</w:t>
            </w:r>
            <w:r>
              <w:rPr>
                <w:rFonts w:hint="eastAsia"/>
                <w:sz w:val="21"/>
                <w:szCs w:val="21"/>
                <w:lang w:val="en-US" w:eastAsia="zh-CN"/>
              </w:rPr>
              <w:t>无安全隐患</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b/>
                <w:color w:val="000000"/>
                <w:sz w:val="20"/>
                <w:szCs w:val="20"/>
              </w:rPr>
            </w:pPr>
            <w:r>
              <w:rPr>
                <w:rFonts w:hint="eastAsia"/>
                <w:b/>
                <w:color w:val="000000"/>
                <w:sz w:val="20"/>
                <w:szCs w:val="20"/>
                <w:lang w:val="en-US" w:eastAsia="zh-CN"/>
              </w:rPr>
              <w:t>8.</w:t>
            </w:r>
            <w:r>
              <w:rPr>
                <w:rFonts w:hint="eastAsia"/>
                <w:b/>
                <w:color w:val="000000"/>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宋体" w:hAnsi="宋体"/>
                <w:b/>
                <w:sz w:val="21"/>
                <w:szCs w:val="21"/>
              </w:rPr>
            </w:pPr>
            <w:r>
              <w:rPr>
                <w:rFonts w:hint="eastAsia"/>
                <w:sz w:val="21"/>
                <w:szCs w:val="21"/>
                <w:lang w:val="en-GB"/>
              </w:rPr>
              <w:t>编制职业健康安全运行控制程序，对相关方施加影响</w:t>
            </w:r>
            <w:r>
              <w:rPr>
                <w:rFonts w:hint="eastAsia"/>
                <w:sz w:val="21"/>
                <w:szCs w:val="21"/>
                <w:lang w:val="en-US" w:eastAsia="zh-CN"/>
              </w:rPr>
              <w:t>管理规定</w:t>
            </w:r>
            <w:r>
              <w:rPr>
                <w:rFonts w:hint="eastAsia"/>
                <w:sz w:val="21"/>
                <w:szCs w:val="21"/>
                <w:lang w:val="en-GB"/>
              </w:rPr>
              <w:t>、办公室安全管理制度</w:t>
            </w:r>
            <w:r>
              <w:rPr>
                <w:rFonts w:hint="eastAsia"/>
                <w:sz w:val="21"/>
                <w:szCs w:val="21"/>
                <w:lang w:val="en-GB" w:eastAsia="zh-CN"/>
              </w:rPr>
              <w:t>、</w:t>
            </w:r>
            <w:r>
              <w:rPr>
                <w:rFonts w:hint="eastAsia"/>
                <w:sz w:val="21"/>
                <w:szCs w:val="21"/>
                <w:lang w:val="en-GB"/>
              </w:rPr>
              <w:t>车辆管理规定</w:t>
            </w:r>
            <w:r>
              <w:rPr>
                <w:rFonts w:hint="eastAsia"/>
                <w:sz w:val="21"/>
                <w:szCs w:val="21"/>
                <w:lang w:val="en-GB" w:eastAsia="zh-CN"/>
              </w:rPr>
              <w:t>、</w:t>
            </w:r>
            <w:r>
              <w:rPr>
                <w:rFonts w:hint="eastAsia"/>
                <w:sz w:val="21"/>
                <w:szCs w:val="21"/>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US" w:eastAsia="zh-CN"/>
              </w:rPr>
              <w:t>噪声伤害、机械伤害、</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、相关方施加影响等进行控制，具体措施有对员工进行安全教育，发放劳保用品，对相关方进行告知，现场查看办公区域干净整洁，</w:t>
            </w:r>
            <w:r>
              <w:rPr>
                <w:rFonts w:hint="eastAsia"/>
                <w:sz w:val="21"/>
                <w:szCs w:val="21"/>
                <w:lang w:val="en-US" w:eastAsia="zh-CN"/>
              </w:rPr>
              <w:t>无安全隐患</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ind w:left="201" w:hanging="201" w:hangingChars="100"/>
              <w:textAlignment w:val="auto"/>
              <w:rPr>
                <w:b/>
                <w:color w:val="000000"/>
                <w:sz w:val="20"/>
                <w:szCs w:val="20"/>
              </w:rPr>
            </w:pPr>
            <w:r>
              <w:rPr>
                <w:rFonts w:hint="eastAsia"/>
                <w:b/>
                <w:color w:val="000000"/>
                <w:sz w:val="20"/>
                <w:szCs w:val="20"/>
                <w:lang w:val="en-US" w:eastAsia="zh-CN"/>
              </w:rPr>
              <w:t>9.</w:t>
            </w:r>
            <w:r>
              <w:rPr>
                <w:rFonts w:hint="eastAsia"/>
                <w:b/>
                <w:color w:val="000000"/>
                <w:sz w:val="20"/>
                <w:szCs w:val="20"/>
              </w:rPr>
              <w:t>应急准备与相应活动的演练及对预案可行性的评价</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sz w:val="21"/>
                <w:szCs w:val="21"/>
                <w:lang w:val="en-GB"/>
              </w:rPr>
              <w:t>编制应急准备和响应控制程序，识别的潜在意外紧急情况为火灾、触电、机械伤害等。编制了应急预案，组织了消防演练，提供了应急预案演练记录。对应急预案进行了评价，可行。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000000"/>
                <w:sz w:val="20"/>
                <w:szCs w:val="20"/>
              </w:rPr>
            </w:pPr>
            <w:r>
              <w:rPr>
                <w:rFonts w:hint="eastAsia"/>
                <w:b/>
                <w:color w:val="000000"/>
                <w:sz w:val="20"/>
                <w:szCs w:val="20"/>
                <w:lang w:val="en-US" w:eastAsia="zh-CN"/>
              </w:rPr>
              <w:t>10.</w:t>
            </w:r>
            <w:r>
              <w:rPr>
                <w:rFonts w:hint="eastAsia"/>
                <w:b/>
                <w:color w:val="000000"/>
                <w:sz w:val="20"/>
                <w:szCs w:val="20"/>
              </w:rPr>
              <w:t>对特种设备的维护，检定</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sz w:val="21"/>
                <w:szCs w:val="21"/>
              </w:rPr>
              <w:t>电动单梁起重机6台</w:t>
            </w:r>
            <w:r>
              <w:rPr>
                <w:rFonts w:hint="eastAsia"/>
                <w:sz w:val="21"/>
                <w:szCs w:val="21"/>
                <w:lang w:eastAsia="zh-CN"/>
              </w:rPr>
              <w:t>，</w:t>
            </w:r>
            <w:r>
              <w:rPr>
                <w:rFonts w:hint="eastAsia"/>
                <w:sz w:val="21"/>
                <w:szCs w:val="21"/>
                <w:lang w:val="en-US" w:eastAsia="zh-CN"/>
              </w:rPr>
              <w:t>提供</w:t>
            </w:r>
            <w:r>
              <w:rPr>
                <w:rFonts w:hint="eastAsia"/>
                <w:sz w:val="21"/>
                <w:szCs w:val="21"/>
              </w:rPr>
              <w:t>江苏省特种设备安全监督检验研究院</w:t>
            </w:r>
            <w:r>
              <w:rPr>
                <w:rFonts w:hint="eastAsia"/>
                <w:sz w:val="21"/>
                <w:szCs w:val="21"/>
                <w:lang w:val="en-US" w:eastAsia="zh-CN"/>
              </w:rPr>
              <w:t>出具的检验报告，显示合格。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sz w:val="20"/>
                <w:szCs w:val="20"/>
              </w:rPr>
            </w:pPr>
            <w:r>
              <w:rPr>
                <w:rFonts w:hint="eastAsia"/>
                <w:b/>
                <w:color w:val="000000"/>
                <w:sz w:val="20"/>
                <w:szCs w:val="20"/>
                <w:lang w:val="en-US" w:eastAsia="zh-CN"/>
              </w:rPr>
              <w:t>11.</w:t>
            </w:r>
            <w:r>
              <w:rPr>
                <w:rFonts w:hint="eastAsia"/>
                <w:b/>
                <w:color w:val="000000"/>
                <w:sz w:val="20"/>
                <w:szCs w:val="20"/>
              </w:rPr>
              <w:t>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ind w:left="100" w:hanging="100" w:hangingChars="50"/>
              <w:textAlignment w:val="auto"/>
              <w:rPr>
                <w:b/>
                <w:color w:val="000000"/>
                <w:sz w:val="20"/>
                <w:szCs w:val="20"/>
              </w:rPr>
            </w:pPr>
            <w:r>
              <w:rPr>
                <w:rFonts w:hint="eastAsia"/>
                <w:b/>
                <w:color w:val="000000"/>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numPr>
                <w:ilvl w:val="0"/>
                <w:numId w:val="5"/>
              </w:numPr>
              <w:kinsoku/>
              <w:wordWrap/>
              <w:overflowPunct/>
              <w:topLinePunct w:val="0"/>
              <w:autoSpaceDE/>
              <w:autoSpaceDN/>
              <w:bidi w:val="0"/>
              <w:adjustRightInd/>
              <w:snapToGrid/>
              <w:spacing w:line="320" w:lineRule="exact"/>
              <w:ind w:left="100" w:hanging="100" w:hangingChars="50"/>
              <w:textAlignment w:val="auto"/>
              <w:rPr>
                <w:rFonts w:hint="eastAsia"/>
                <w:b/>
                <w:color w:val="000000"/>
                <w:sz w:val="20"/>
                <w:szCs w:val="20"/>
              </w:rPr>
            </w:pPr>
            <w:r>
              <w:rPr>
                <w:rFonts w:hint="eastAsia"/>
                <w:b/>
                <w:color w:val="000000"/>
                <w:sz w:val="20"/>
                <w:szCs w:val="20"/>
              </w:rPr>
              <w:t>顾客满意</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98</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000000"/>
                <w:sz w:val="20"/>
                <w:szCs w:val="20"/>
              </w:rPr>
            </w:pPr>
            <w:r>
              <w:rPr>
                <w:rFonts w:hint="eastAsia"/>
                <w:b/>
                <w:color w:val="000000"/>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sz w:val="21"/>
                <w:szCs w:val="21"/>
              </w:rPr>
              <w:t>按照策划的安排于</w:t>
            </w:r>
            <w:r>
              <w:rPr>
                <w:sz w:val="21"/>
                <w:szCs w:val="21"/>
              </w:rPr>
              <w:t>201</w:t>
            </w:r>
            <w:r>
              <w:rPr>
                <w:rFonts w:hint="eastAsia"/>
                <w:sz w:val="21"/>
                <w:szCs w:val="21"/>
                <w:lang w:val="en-US" w:eastAsia="zh-CN"/>
              </w:rPr>
              <w:t>9年11月10-11日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000000"/>
                <w:sz w:val="20"/>
                <w:szCs w:val="20"/>
              </w:rPr>
            </w:pPr>
            <w:r>
              <w:rPr>
                <w:rFonts w:hint="eastAsia"/>
                <w:b/>
                <w:color w:val="000000"/>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sz w:val="21"/>
                <w:szCs w:val="21"/>
              </w:rPr>
              <w:t>按照策划的安排于</w:t>
            </w:r>
            <w:r>
              <w:rPr>
                <w:sz w:val="21"/>
                <w:szCs w:val="21"/>
              </w:rPr>
              <w:t>2019</w:t>
            </w:r>
            <w:r>
              <w:rPr>
                <w:rFonts w:hint="eastAsia" w:cs="宋体"/>
                <w:sz w:val="21"/>
                <w:szCs w:val="21"/>
              </w:rPr>
              <w:t>年</w:t>
            </w:r>
            <w:r>
              <w:rPr>
                <w:rFonts w:hint="eastAsia" w:cs="宋体"/>
                <w:sz w:val="21"/>
                <w:szCs w:val="21"/>
                <w:lang w:val="en-US" w:eastAsia="zh-CN"/>
              </w:rPr>
              <w:t>11</w:t>
            </w:r>
            <w:r>
              <w:rPr>
                <w:rFonts w:hint="eastAsia" w:cs="宋体"/>
                <w:sz w:val="21"/>
                <w:szCs w:val="21"/>
              </w:rPr>
              <w:t>月</w:t>
            </w:r>
            <w:r>
              <w:rPr>
                <w:rFonts w:hint="eastAsia" w:cs="宋体"/>
                <w:sz w:val="21"/>
                <w:szCs w:val="21"/>
                <w:lang w:val="en-US" w:eastAsia="zh-CN"/>
              </w:rPr>
              <w:t>28</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numPr>
                <w:ilvl w:val="0"/>
                <w:numId w:val="6"/>
              </w:numPr>
              <w:kinsoku/>
              <w:wordWrap/>
              <w:overflowPunct/>
              <w:topLinePunct w:val="0"/>
              <w:autoSpaceDE/>
              <w:autoSpaceDN/>
              <w:bidi w:val="0"/>
              <w:adjustRightInd/>
              <w:snapToGrid/>
              <w:spacing w:line="320" w:lineRule="exact"/>
              <w:textAlignment w:val="auto"/>
              <w:rPr>
                <w:rFonts w:hint="eastAsia"/>
                <w:b/>
                <w:color w:val="000000"/>
                <w:sz w:val="20"/>
                <w:szCs w:val="20"/>
              </w:rPr>
            </w:pPr>
            <w:r>
              <w:rPr>
                <w:rFonts w:hint="eastAsia"/>
                <w:b/>
                <w:color w:val="000000"/>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宋体" w:hAnsi="宋体"/>
                <w:b/>
                <w:sz w:val="21"/>
                <w:szCs w:val="21"/>
              </w:rPr>
            </w:pPr>
            <w:r>
              <w:rPr>
                <w:rFonts w:hint="eastAsia" w:ascii="Times New Roman" w:hAnsi="Times New Roman" w:cs="Times New Roman"/>
                <w:sz w:val="21"/>
                <w:szCs w:val="21"/>
              </w:rPr>
              <w:t>提供了20</w:t>
            </w:r>
            <w:r>
              <w:rPr>
                <w:rFonts w:hint="eastAsia" w:ascii="Times New Roman" w:hAnsi="Times New Roman" w:cs="Times New Roman"/>
                <w:sz w:val="21"/>
                <w:szCs w:val="21"/>
                <w:lang w:val="en-US" w:eastAsia="zh-CN"/>
              </w:rPr>
              <w:t>21</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.2</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日江苏天宇检测技术有限公司天宇（环委）检字第（</w:t>
            </w:r>
            <w:r>
              <w:rPr>
                <w:rFonts w:hint="eastAsia" w:ascii="Times New Roman" w:hAnsi="Times New Roman" w:cs="Times New Roman"/>
                <w:sz w:val="21"/>
                <w:szCs w:val="21"/>
                <w:lang w:val="en-US" w:eastAsia="zh-CN"/>
              </w:rPr>
              <w:t>2101036</w:t>
            </w:r>
            <w:r>
              <w:rPr>
                <w:rFonts w:hint="eastAsia" w:ascii="Times New Roman" w:hAnsi="Times New Roman" w:cs="Times New Roman"/>
                <w:sz w:val="21"/>
                <w:szCs w:val="21"/>
              </w:rPr>
              <w:t>）号无组织废气、噪声检测报告</w:t>
            </w:r>
            <w:r>
              <w:rPr>
                <w:rFonts w:hint="eastAsia"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pPr>
            <w:r>
              <w:rPr>
                <w:rFonts w:hint="eastAsia"/>
              </w:rPr>
              <w:t xml:space="preserve">6.  </w:t>
            </w:r>
            <w:r>
              <w:rPr>
                <w:rFonts w:hint="eastAsia" w:ascii="Times New Roman" w:hAnsi="Times New Roman" w:cs="Times New Roman"/>
                <w:b/>
                <w:color w:val="000000"/>
                <w:sz w:val="20"/>
                <w:szCs w:val="20"/>
              </w:rPr>
              <w:t>EMS国家/地方环保部门监测结果、新改扩建项目符合环评报告、三同时验收报告要求情况及措施</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cs="Times New Roman"/>
                <w:sz w:val="21"/>
                <w:szCs w:val="21"/>
              </w:rPr>
            </w:pPr>
            <w:r>
              <w:rPr>
                <w:rFonts w:hint="eastAsia" w:ascii="Times New Roman" w:hAnsi="Times New Roman" w:cs="Times New Roman"/>
                <w:sz w:val="21"/>
                <w:szCs w:val="21"/>
              </w:rPr>
              <w:t>提供了2018.12.7盐评审【2018】表123盐城华远石油机械有限公司年生产抽油泵 5000台项目建设项目环境影响报告表的批复。</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pPr>
            <w:r>
              <w:rPr>
                <w:rFonts w:hint="eastAsia" w:ascii="Times New Roman" w:hAnsi="Times New Roman" w:cs="Times New Roman"/>
                <w:sz w:val="21"/>
                <w:szCs w:val="21"/>
              </w:rPr>
              <w:t>提供了2018.</w:t>
            </w:r>
            <w:r>
              <w:rPr>
                <w:rFonts w:hint="eastAsia" w:ascii="Times New Roman" w:hAnsi="Times New Roman" w:cs="Times New Roman"/>
                <w:sz w:val="21"/>
                <w:szCs w:val="21"/>
                <w:lang w:val="en-US" w:eastAsia="zh-CN"/>
              </w:rPr>
              <w:t>9月份编制的《建设项目环境影响报告表》，项目名称：螺杆钻具、抽油泵项目扩能。以及2018年12月19日盐城市盐都区环保局的批复。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000000"/>
                <w:sz w:val="20"/>
                <w:szCs w:val="20"/>
              </w:rPr>
            </w:pPr>
            <w:r>
              <w:rPr>
                <w:rFonts w:hint="eastAsia"/>
                <w:b/>
                <w:color w:val="000000"/>
                <w:sz w:val="20"/>
                <w:szCs w:val="20"/>
              </w:rPr>
              <w:t>7. OHSMS是否按规定对职业健康安全项目进行定期测量，结果是否满足相关要求：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企业于3月23日由大纲镇政府统一组织自愿接种了新冠疫苗。</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宋体" w:hAnsi="宋体"/>
                <w:b/>
                <w:sz w:val="21"/>
                <w:szCs w:val="21"/>
              </w:rPr>
            </w:pPr>
            <w:r>
              <w:rPr>
                <w:rFonts w:hint="eastAsia" w:ascii="Times New Roman" w:hAnsi="Times New Roman" w:cs="Times New Roman"/>
                <w:sz w:val="21"/>
                <w:szCs w:val="21"/>
                <w:lang w:val="en-US" w:eastAsia="zh-CN"/>
              </w:rPr>
              <w:t>企业计划于2021年3月30日由盐都区大冈镇工业园统一安全在延长德馨医院进行职业病体检，明年复审重点查看。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000000"/>
                <w:sz w:val="20"/>
                <w:szCs w:val="20"/>
              </w:rPr>
            </w:pPr>
            <w:r>
              <w:rPr>
                <w:rFonts w:hint="eastAsia"/>
                <w:b/>
                <w:color w:val="000000"/>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widowControl/>
              <w:numPr>
                <w:ilvl w:val="0"/>
                <w:numId w:val="7"/>
              </w:numPr>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b/>
                <w:color w:val="000000"/>
                <w:sz w:val="20"/>
                <w:szCs w:val="20"/>
              </w:rPr>
              <w:t>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numPr>
                <w:ilvl w:val="0"/>
                <w:numId w:val="5"/>
              </w:numPr>
              <w:kinsoku/>
              <w:wordWrap/>
              <w:overflowPunct/>
              <w:topLinePunct w:val="0"/>
              <w:autoSpaceDE/>
              <w:autoSpaceDN/>
              <w:bidi w:val="0"/>
              <w:adjustRightInd/>
              <w:snapToGrid/>
              <w:spacing w:line="320" w:lineRule="exact"/>
              <w:ind w:left="105" w:leftChars="0" w:hanging="105" w:hangingChars="50"/>
              <w:textAlignment w:val="auto"/>
              <w:rPr>
                <w:rFonts w:hint="eastAsia" w:ascii="宋体" w:hAnsi="宋体"/>
                <w:b/>
                <w:sz w:val="21"/>
                <w:szCs w:val="21"/>
              </w:rPr>
            </w:pPr>
            <w:r>
              <w:rPr>
                <w:rFonts w:hint="eastAsia" w:ascii="宋体" w:hAnsi="宋体"/>
                <w:b/>
                <w:sz w:val="21"/>
                <w:szCs w:val="21"/>
              </w:rPr>
              <w:t>创新情况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宋体" w:hAnsi="宋体"/>
                <w:b/>
                <w:sz w:val="21"/>
                <w:szCs w:val="21"/>
              </w:rPr>
            </w:pPr>
            <w:r>
              <w:rPr>
                <w:rFonts w:hint="eastAsia"/>
                <w:color w:val="auto"/>
                <w:sz w:val="21"/>
                <w:szCs w:val="21"/>
                <w:lang w:val="en-US" w:eastAsia="zh-CN"/>
              </w:rPr>
              <w:t>积极采用新环保技术，改善环境。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numPr>
                <w:ilvl w:val="0"/>
                <w:numId w:val="5"/>
              </w:numPr>
              <w:kinsoku/>
              <w:wordWrap/>
              <w:overflowPunct/>
              <w:topLinePunct w:val="0"/>
              <w:autoSpaceDE/>
              <w:autoSpaceDN/>
              <w:bidi w:val="0"/>
              <w:adjustRightInd/>
              <w:snapToGrid/>
              <w:spacing w:line="320" w:lineRule="exact"/>
              <w:ind w:left="105" w:leftChars="0" w:hanging="105" w:hangingChars="50"/>
              <w:textAlignment w:val="auto"/>
              <w:rPr>
                <w:rFonts w:hint="eastAsia" w:ascii="宋体" w:hAnsi="宋体"/>
                <w:b/>
                <w:sz w:val="21"/>
                <w:szCs w:val="21"/>
              </w:rPr>
            </w:pPr>
            <w:r>
              <w:rPr>
                <w:rFonts w:hint="eastAsia" w:ascii="宋体" w:hAnsi="宋体"/>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宋体" w:hAnsi="宋体"/>
                <w:b/>
                <w:sz w:val="21"/>
                <w:szCs w:val="21"/>
              </w:rPr>
            </w:pPr>
            <w:r>
              <w:rPr>
                <w:rFonts w:hint="eastAsia"/>
                <w:color w:val="auto"/>
                <w:sz w:val="21"/>
                <w:szCs w:val="21"/>
              </w:rPr>
              <w:t>上次审核发现的不符合项</w:t>
            </w:r>
            <w:r>
              <w:rPr>
                <w:rFonts w:hint="eastAsia"/>
                <w:color w:val="auto"/>
                <w:sz w:val="21"/>
                <w:szCs w:val="21"/>
                <w:lang w:eastAsia="zh-CN"/>
              </w:rPr>
              <w:t>，</w:t>
            </w:r>
            <w:r>
              <w:rPr>
                <w:rFonts w:hint="eastAsia"/>
                <w:color w:val="auto"/>
                <w:sz w:val="21"/>
                <w:szCs w:val="21"/>
              </w:rPr>
              <w:t>相关责任部门对</w:t>
            </w:r>
            <w:r>
              <w:rPr>
                <w:rFonts w:hint="eastAsia"/>
                <w:color w:val="auto"/>
                <w:sz w:val="21"/>
                <w:szCs w:val="21"/>
                <w:lang w:eastAsia="zh-CN"/>
              </w:rPr>
              <w:t>其</w:t>
            </w:r>
            <w:r>
              <w:rPr>
                <w:rFonts w:hint="eastAsia"/>
                <w:color w:val="auto"/>
                <w:sz w:val="21"/>
                <w:szCs w:val="21"/>
              </w:rPr>
              <w:t>进行了原因分析，制定并采取了</w:t>
            </w:r>
            <w:r>
              <w:rPr>
                <w:rFonts w:hint="eastAsia"/>
                <w:color w:val="auto"/>
                <w:sz w:val="21"/>
                <w:szCs w:val="21"/>
                <w:lang w:eastAsia="zh-CN"/>
              </w:rPr>
              <w:t>纠正及</w:t>
            </w:r>
            <w:r>
              <w:rPr>
                <w:rFonts w:hint="eastAsia"/>
                <w:color w:val="auto"/>
                <w:sz w:val="21"/>
                <w:szCs w:val="21"/>
              </w:rPr>
              <w:t>纠正措施，经现场的查</w:t>
            </w:r>
            <w:r>
              <w:rPr>
                <w:rFonts w:hint="eastAsia"/>
                <w:color w:val="auto"/>
                <w:sz w:val="21"/>
                <w:szCs w:val="21"/>
                <w:lang w:eastAsia="zh-CN"/>
              </w:rPr>
              <w:t>看</w:t>
            </w:r>
            <w:r>
              <w:rPr>
                <w:rFonts w:hint="eastAsia"/>
                <w:color w:val="auto"/>
                <w:sz w:val="21"/>
                <w:szCs w:val="21"/>
              </w:rPr>
              <w:t>，</w:t>
            </w:r>
            <w:r>
              <w:rPr>
                <w:rFonts w:hint="eastAsia"/>
                <w:color w:val="auto"/>
                <w:sz w:val="21"/>
                <w:szCs w:val="21"/>
                <w:lang w:val="en-US" w:eastAsia="zh-CN"/>
              </w:rPr>
              <w:t>未发生类似问题，采取的纠正措施有效。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mc:AlternateContent>
          <mc:Choice Requires="wps">
            <w:drawing>
              <wp:anchor distT="0" distB="0" distL="114300" distR="114300" simplePos="0" relativeHeight="251658240"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5" name="直接连接符 1"/>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r&#10;Jrhl1AAAAAkBAAAPAAAAAAAAAAEAIAAAACIAAABkcnMvZG93bnJldi54bWxQSwECFAAUAAAACACH&#10;TuJAPpi14u8BAADgAwAADgAAAAAAAAABACAAAAAjAQAAZHJzL2Uyb0RvYy54bWxQSwUGAAAAAAYA&#10;BgBZAQAAhAUAAAAA&#10;">
                <v:fill on="f" focussize="0,0"/>
                <v:stroke color="#000000" joinstyle="round"/>
                <v:imagedata o:title=""/>
                <o:lock v:ext="edit" aspectratio="f"/>
              </v:line>
            </w:pict>
          </mc:Fallback>
        </mc:AlternateConten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top"/>
          </w:tcPr>
          <w:p>
            <w:pPr>
              <w:spacing w:line="360" w:lineRule="auto"/>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360" w:lineRule="auto"/>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360" w:lineRule="auto"/>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360" w:lineRule="auto"/>
              <w:rPr>
                <w:rFonts w:ascii="宋体" w:hAnsi="宋体"/>
                <w:b/>
                <w:szCs w:val="21"/>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w:t>
            </w:r>
            <w:r>
              <w:rPr>
                <w:rFonts w:hint="eastAsia" w:ascii="宋体" w:hAnsi="宋体" w:cs="宋体"/>
                <w:bCs/>
                <w:szCs w:val="21"/>
                <w:lang w:val="en-US" w:eastAsia="zh-CN"/>
              </w:rPr>
              <w:t>保持</w:t>
            </w:r>
            <w:r>
              <w:rPr>
                <w:rFonts w:hint="eastAsia" w:ascii="宋体" w:hAnsi="宋体" w:cs="宋体"/>
                <w:bCs/>
                <w:szCs w:val="21"/>
              </w:rPr>
              <w:t>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b/>
          <w:sz w:val="21"/>
          <w:szCs w:val="21"/>
          <w:u w:val="single"/>
          <w:lang w:eastAsia="zh-CN"/>
        </w:rPr>
        <w:drawing>
          <wp:anchor distT="0" distB="0" distL="114300" distR="114300" simplePos="0" relativeHeight="251661312" behindDoc="0" locked="0" layoutInCell="1" allowOverlap="1">
            <wp:simplePos x="0" y="0"/>
            <wp:positionH relativeFrom="column">
              <wp:posOffset>1059815</wp:posOffset>
            </wp:positionH>
            <wp:positionV relativeFrom="paragraph">
              <wp:posOffset>234315</wp:posOffset>
            </wp:positionV>
            <wp:extent cx="397510" cy="305435"/>
            <wp:effectExtent l="0" t="0" r="8890" b="12065"/>
            <wp:wrapNone/>
            <wp:docPr id="2"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李俐"/>
                    <pic:cNvPicPr>
                      <a:picLocks noChangeAspect="1"/>
                    </pic:cNvPicPr>
                  </pic:nvPicPr>
                  <pic:blipFill>
                    <a:blip r:embed="rId6"/>
                    <a:stretch>
                      <a:fillRect/>
                    </a:stretch>
                  </pic:blipFill>
                  <pic:spPr>
                    <a:xfrm>
                      <a:off x="0" y="0"/>
                      <a:ext cx="397510" cy="305435"/>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eastAsia="宋体"/>
          <w:b/>
          <w:sz w:val="21"/>
          <w:lang w:eastAsia="zh-CN"/>
        </w:rPr>
        <w:drawing>
          <wp:anchor distT="0" distB="0" distL="114300" distR="114300" simplePos="0" relativeHeight="251662336" behindDoc="0" locked="0" layoutInCell="1" allowOverlap="1">
            <wp:simplePos x="0" y="0"/>
            <wp:positionH relativeFrom="column">
              <wp:posOffset>1566545</wp:posOffset>
            </wp:positionH>
            <wp:positionV relativeFrom="paragraph">
              <wp:posOffset>201295</wp:posOffset>
            </wp:positionV>
            <wp:extent cx="606425" cy="503555"/>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7"/>
                    <a:stretch>
                      <a:fillRect/>
                    </a:stretch>
                  </pic:blipFill>
                  <pic:spPr>
                    <a:xfrm>
                      <a:off x="0" y="0"/>
                      <a:ext cx="606425" cy="503555"/>
                    </a:xfrm>
                    <a:prstGeom prst="rect">
                      <a:avLst/>
                    </a:prstGeom>
                  </pic:spPr>
                </pic:pic>
              </a:graphicData>
            </a:graphic>
          </wp:anchor>
        </w:drawing>
      </w:r>
      <w:r>
        <w:rPr>
          <w:rFonts w:hint="eastAsia"/>
          <w:b/>
          <w:sz w:val="21"/>
        </w:rPr>
        <w:t>审核组组长（签名）：</w:t>
      </w:r>
    </w:p>
    <w:p>
      <w:pPr>
        <w:snapToGrid w:val="0"/>
        <w:spacing w:before="163" w:beforeLines="50" w:line="320" w:lineRule="exact"/>
        <w:ind w:firstLine="527" w:firstLineChars="250"/>
        <w:rPr>
          <w:rFonts w:hint="eastAsia" w:eastAsia="宋体"/>
          <w:b/>
          <w:sz w:val="21"/>
          <w:lang w:eastAsia="zh-CN"/>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2021.3.24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eastAsia="宋体"/>
          <w:b/>
          <w:sz w:val="21"/>
          <w:szCs w:val="21"/>
          <w:u w:val="single"/>
          <w:lang w:eastAsia="zh-CN"/>
        </w:rPr>
      </w:pPr>
      <w:r>
        <w:rPr>
          <w:rFonts w:hint="eastAsia" w:eastAsia="宋体"/>
          <w:b/>
          <w:sz w:val="21"/>
          <w:szCs w:val="21"/>
          <w:u w:val="single"/>
          <w:lang w:eastAsia="zh-CN"/>
        </w:rPr>
        <w:drawing>
          <wp:anchor distT="0" distB="0" distL="114300" distR="114300" simplePos="0" relativeHeight="251659264" behindDoc="0" locked="0" layoutInCell="1" allowOverlap="1">
            <wp:simplePos x="0" y="0"/>
            <wp:positionH relativeFrom="column">
              <wp:posOffset>1183640</wp:posOffset>
            </wp:positionH>
            <wp:positionV relativeFrom="paragraph">
              <wp:posOffset>59055</wp:posOffset>
            </wp:positionV>
            <wp:extent cx="397510" cy="305435"/>
            <wp:effectExtent l="0" t="0" r="8890" b="12065"/>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6"/>
                    <a:stretch>
                      <a:fillRect/>
                    </a:stretch>
                  </pic:blipFill>
                  <pic:spPr>
                    <a:xfrm>
                      <a:off x="0" y="0"/>
                      <a:ext cx="397510" cy="305435"/>
                    </a:xfrm>
                    <a:prstGeom prst="rect">
                      <a:avLst/>
                    </a:prstGeom>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wp:start x="21592" y="-2"/>
              <wp:lineTo x="0" y="0"/>
              <wp:lineTo x="0" y="21600"/>
              <wp:lineTo x="21592" y="21602"/>
              <wp:lineTo x="8" y="21602"/>
              <wp:lineTo x="21600" y="21600"/>
              <wp:lineTo x="21600" y="0"/>
              <wp:lineTo x="8" y="-2"/>
              <wp:lineTo x="21592" y="-2"/>
            </wp:wrapPolygon>
          </wp:wrapTight>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7"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ISC-B-II-1</w:t>
                          </w:r>
                          <w:r>
                            <w:rPr>
                              <w:sz w:val="18"/>
                              <w:szCs w:val="18"/>
                            </w:rPr>
                            <w:t>3</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hBqrl1gAAAAoBAAAPAAAAAAAAAAEAIAAAACIAAABkcnMvZG93bnJldi54&#10;bWxQSwECFAAUAAAACACHTuJAKNyGVMMBAAB3AwAADgAAAAAAAAABACAAAAAlAQAAZHJzL2Uyb0Rv&#10;Yy54bWxQSwUGAAAAAAYABgBZAQAAWgUAAAAA&#10;">
              <v:fill on="t" focussize="0,0"/>
              <v:stroke on="f"/>
              <v:imagedata o:title=""/>
              <o:lock v:ext="edit" aspectratio="f"/>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mc:Fallback>
      </mc:AlternateConten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868D8"/>
    <w:multiLevelType w:val="singleLevel"/>
    <w:tmpl w:val="901868D8"/>
    <w:lvl w:ilvl="0" w:tentative="0">
      <w:start w:val="2"/>
      <w:numFmt w:val="decimal"/>
      <w:suff w:val="space"/>
      <w:lvlText w:val="%1."/>
      <w:lvlJc w:val="left"/>
    </w:lvl>
  </w:abstractNum>
  <w:abstractNum w:abstractNumId="1">
    <w:nsid w:val="A57908F7"/>
    <w:multiLevelType w:val="singleLevel"/>
    <w:tmpl w:val="A57908F7"/>
    <w:lvl w:ilvl="0" w:tentative="0">
      <w:start w:val="2"/>
      <w:numFmt w:val="decimal"/>
      <w:suff w:val="nothing"/>
      <w:lvlText w:val="%1、"/>
      <w:lvlJc w:val="left"/>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F73FC62"/>
    <w:multiLevelType w:val="singleLevel"/>
    <w:tmpl w:val="5F73FC62"/>
    <w:lvl w:ilvl="0" w:tentative="0">
      <w:start w:val="9"/>
      <w:numFmt w:val="decimal"/>
      <w:suff w:val="space"/>
      <w:lvlText w:val="%1."/>
      <w:lvlJc w:val="left"/>
    </w:lvl>
  </w:abstractNum>
  <w:abstractNum w:abstractNumId="5">
    <w:nsid w:val="777BC977"/>
    <w:multiLevelType w:val="singleLevel"/>
    <w:tmpl w:val="777BC977"/>
    <w:lvl w:ilvl="0" w:tentative="0">
      <w:start w:val="3"/>
      <w:numFmt w:val="decimal"/>
      <w:lvlText w:val="%1."/>
      <w:lvlJc w:val="left"/>
      <w:pPr>
        <w:tabs>
          <w:tab w:val="left" w:pos="312"/>
        </w:tabs>
      </w:pPr>
    </w:lvl>
  </w:abstractNum>
  <w:abstractNum w:abstractNumId="6">
    <w:nsid w:val="7BC294AD"/>
    <w:multiLevelType w:val="singleLevel"/>
    <w:tmpl w:val="7BC294AD"/>
    <w:lvl w:ilvl="0" w:tentative="0">
      <w:start w:val="5"/>
      <w:numFmt w:val="decimal"/>
      <w:suff w:val="space"/>
      <w:lvlText w:val="%1."/>
      <w:lvlJc w:val="left"/>
    </w:lvl>
  </w:abstractNum>
  <w:num w:numId="1">
    <w:abstractNumId w:val="1"/>
  </w:num>
  <w:num w:numId="2">
    <w:abstractNumId w:val="5"/>
  </w:num>
  <w:num w:numId="3">
    <w:abstractNumId w:val="3"/>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F43E5"/>
    <w:rsid w:val="08C979FC"/>
    <w:rsid w:val="09BC43A5"/>
    <w:rsid w:val="09E81057"/>
    <w:rsid w:val="15DA26B8"/>
    <w:rsid w:val="16577744"/>
    <w:rsid w:val="189F49DD"/>
    <w:rsid w:val="1E3420EA"/>
    <w:rsid w:val="1E747AAD"/>
    <w:rsid w:val="20226759"/>
    <w:rsid w:val="215C4E22"/>
    <w:rsid w:val="249026A8"/>
    <w:rsid w:val="27172A55"/>
    <w:rsid w:val="28E47E3B"/>
    <w:rsid w:val="29D43DF9"/>
    <w:rsid w:val="29FA1473"/>
    <w:rsid w:val="2FBF2977"/>
    <w:rsid w:val="326C5971"/>
    <w:rsid w:val="39CB6370"/>
    <w:rsid w:val="46B9646D"/>
    <w:rsid w:val="4F766BB1"/>
    <w:rsid w:val="5196476C"/>
    <w:rsid w:val="53C4404C"/>
    <w:rsid w:val="572873F6"/>
    <w:rsid w:val="58B716D6"/>
    <w:rsid w:val="5A9A7D15"/>
    <w:rsid w:val="66B73F7C"/>
    <w:rsid w:val="679A1600"/>
    <w:rsid w:val="694F7B58"/>
    <w:rsid w:val="6C160FDE"/>
    <w:rsid w:val="71225D2B"/>
    <w:rsid w:val="713F05C2"/>
    <w:rsid w:val="785E4757"/>
    <w:rsid w:val="7CD219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99"/>
    <w:pPr>
      <w:spacing w:line="420" w:lineRule="exact"/>
    </w:pPr>
    <w:rPr>
      <w:sz w:val="24"/>
    </w:rPr>
  </w:style>
  <w:style w:type="paragraph" w:styleId="4">
    <w:name w:val="Balloon Text"/>
    <w:basedOn w:val="1"/>
    <w:link w:val="10"/>
    <w:semiHidden/>
    <w:uiPriority w:val="99"/>
    <w:rPr>
      <w:sz w:val="18"/>
      <w:szCs w:val="18"/>
    </w:rPr>
  </w:style>
  <w:style w:type="paragraph" w:styleId="5">
    <w:name w:val="footer"/>
    <w:basedOn w:val="1"/>
    <w:link w:val="11"/>
    <w:semiHidden/>
    <w:uiPriority w:val="99"/>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locked/>
    <w:uiPriority w:val="99"/>
    <w:rPr>
      <w:rFonts w:ascii="Times New Roman" w:hAnsi="Times New Roman" w:eastAsia="宋体" w:cs="Times New Roman"/>
      <w:sz w:val="18"/>
      <w:szCs w:val="18"/>
    </w:rPr>
  </w:style>
  <w:style w:type="character" w:customStyle="1" w:styleId="11">
    <w:name w:val="页脚 Char"/>
    <w:link w:val="5"/>
    <w:semiHidden/>
    <w:locked/>
    <w:uiPriority w:val="99"/>
    <w:rPr>
      <w:rFonts w:ascii="Times New Roman" w:hAnsi="Times New Roman" w:eastAsia="宋体" w:cs="Times New Roman"/>
      <w:sz w:val="18"/>
      <w:szCs w:val="18"/>
    </w:rPr>
  </w:style>
  <w:style w:type="character" w:customStyle="1" w:styleId="12">
    <w:name w:val="页眉 Char"/>
    <w:link w:val="6"/>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郭力</cp:lastModifiedBy>
  <cp:lastPrinted>2019-04-18T08:15:00Z</cp:lastPrinted>
  <dcterms:modified xsi:type="dcterms:W3CDTF">2021-03-24T03:15:10Z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