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left"/>
        <w:rPr>
          <w:rFonts w:ascii="楷体" w:hAnsi="楷体" w:eastAsia="楷体"/>
          <w:b/>
          <w:bCs/>
          <w:color w:val="000000" w:themeColor="text1"/>
          <w:sz w:val="24"/>
          <w:szCs w:val="24"/>
          <w:u w:val="none"/>
        </w:rPr>
      </w:pPr>
      <w:r>
        <w:rPr>
          <w:rFonts w:hint="eastAsia" w:ascii="宋体" w:hAnsi="宋体"/>
          <w:b/>
          <w:bCs/>
          <w:kern w:val="0"/>
          <w:sz w:val="24"/>
          <w:szCs w:val="24"/>
          <w:u w:val="none"/>
          <w:lang w:val="en-US" w:eastAsia="zh-CN"/>
        </w:rPr>
        <w:t>编号：</w:t>
      </w:r>
      <w:r>
        <w:rPr>
          <w:rFonts w:hint="eastAsia" w:ascii="宋体" w:hAnsi="宋体"/>
          <w:b/>
          <w:bCs/>
          <w:kern w:val="0"/>
          <w:sz w:val="24"/>
          <w:szCs w:val="24"/>
          <w:u w:val="none"/>
        </w:rPr>
        <w:t xml:space="preserve"> </w:t>
      </w:r>
      <w:bookmarkStart w:id="0" w:name="合同编号"/>
      <w:r>
        <w:rPr>
          <w:b/>
          <w:bCs/>
          <w:sz w:val="24"/>
          <w:szCs w:val="24"/>
          <w:u w:val="none"/>
        </w:rPr>
        <w:t>0137-2021-EO</w:t>
      </w:r>
      <w:bookmarkEnd w:id="0"/>
      <w:r>
        <w:rPr>
          <w:rFonts w:hint="eastAsia" w:ascii="宋体" w:hAnsi="宋体"/>
          <w:b/>
          <w:bCs/>
          <w:kern w:val="0"/>
          <w:sz w:val="24"/>
          <w:szCs w:val="24"/>
          <w:u w:val="none"/>
        </w:rPr>
        <w:t xml:space="preserve"> </w:t>
      </w: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1" w:name="组织名称"/>
      <w:r>
        <w:rPr>
          <w:rFonts w:ascii="楷体" w:hAnsi="楷体" w:eastAsia="楷体"/>
          <w:b/>
          <w:color w:val="000000" w:themeColor="text1"/>
          <w:sz w:val="32"/>
          <w:szCs w:val="32"/>
          <w:u w:val="single"/>
        </w:rPr>
        <w:t>四川明鑫电器电瓷有限公司</w:t>
      </w:r>
      <w:bookmarkEnd w:id="1"/>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2" w:name="Q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3" w:name="E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4" w:name="S勾选"/>
      <w:r>
        <w:rPr>
          <w:rFonts w:hint="eastAsia" w:ascii="楷体" w:hAnsi="楷体" w:eastAsia="楷体"/>
          <w:b/>
          <w:color w:val="000000" w:themeColor="text1"/>
          <w:sz w:val="32"/>
          <w:szCs w:val="32"/>
        </w:rPr>
        <w:t>■</w:t>
      </w:r>
      <w:bookmarkEnd w:id="4"/>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1"/>
          <w:rFonts w:hint="eastAsia" w:ascii="楷体" w:hAnsi="楷体" w:eastAsia="楷体"/>
          <w:b/>
          <w:sz w:val="36"/>
          <w:szCs w:val="36"/>
        </w:rPr>
        <w:t>www.china-isc.org.cn</w:t>
      </w:r>
      <w:r>
        <w:fldChar w:fldCharType="end"/>
      </w: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8"/>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杨珍全</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E:29.12.00</w:t>
            </w:r>
          </w:p>
          <w:p>
            <w:pPr>
              <w:spacing w:line="240" w:lineRule="exact"/>
              <w:jc w:val="center"/>
              <w:rPr>
                <w:b/>
                <w:color w:val="000000" w:themeColor="text1"/>
                <w:sz w:val="20"/>
                <w:szCs w:val="20"/>
              </w:rPr>
            </w:pPr>
            <w:r>
              <w:rPr>
                <w:b/>
                <w:color w:val="000000" w:themeColor="text1"/>
                <w:sz w:val="20"/>
                <w:szCs w:val="20"/>
              </w:rPr>
              <w:t>O:29.12.00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冉景洲</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E:审核员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EMS/</w:t>
            </w:r>
            <w:r>
              <w:rPr>
                <w:rFonts w:hint="eastAsia" w:ascii="宋体" w:hAnsi="宋体" w:eastAsia="宋体" w:cs="宋体"/>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hint="eastAsia" w:ascii="宋体" w:hAnsi="宋体"/>
          <w:b/>
          <w:color w:val="000000" w:themeColor="text1"/>
          <w:spacing w:val="-10"/>
          <w:sz w:val="20"/>
          <w:szCs w:val="20"/>
        </w:rPr>
      </w:pPr>
      <w:bookmarkStart w:id="5" w:name="审核依据"/>
      <w:r>
        <w:rPr>
          <w:rFonts w:hint="eastAsia" w:ascii="宋体" w:hAnsi="宋体"/>
          <w:b/>
          <w:color w:val="000000" w:themeColor="text1"/>
          <w:spacing w:val="-10"/>
          <w:sz w:val="20"/>
          <w:szCs w:val="20"/>
        </w:rPr>
        <w:t>E：GB/T 24001-2016/ISO14001:2015,O：GB/T45001-2020 / ISO45001：2018</w:t>
      </w:r>
      <w:bookmarkEnd w:id="5"/>
    </w:p>
    <w:p>
      <w:pPr>
        <w:pStyle w:val="12"/>
        <w:numPr>
          <w:ilvl w:val="0"/>
          <w:numId w:val="1"/>
        </w:numPr>
        <w:ind w:left="-142" w:hanging="709" w:firstLineChars="0"/>
        <w:rPr>
          <w:rFonts w:hint="eastAsia" w:ascii="宋体" w:hAnsi="宋体"/>
          <w:b/>
          <w:color w:val="000000" w:themeColor="text1"/>
          <w:sz w:val="26"/>
          <w:szCs w:val="26"/>
        </w:rPr>
      </w:pPr>
      <w:r>
        <w:rPr>
          <w:rFonts w:hint="eastAsia" w:ascii="宋体" w:hAnsi="宋体"/>
          <w:b/>
          <w:color w:val="000000" w:themeColor="text1"/>
          <w:sz w:val="26"/>
          <w:szCs w:val="26"/>
        </w:rPr>
        <w:t>受审核方基本信息</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6" w:name="组织名称Add1"/>
            <w:r>
              <w:rPr>
                <w:rFonts w:ascii="宋体" w:hAnsi="宋体"/>
                <w:b/>
                <w:color w:val="000000" w:themeColor="text1"/>
                <w:sz w:val="20"/>
                <w:szCs w:val="20"/>
              </w:rPr>
              <w:t>四川明鑫电器电瓷有限公司</w:t>
            </w:r>
            <w:bookmarkEnd w:id="6"/>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7" w:name="企业人数"/>
            <w:r>
              <w:rPr>
                <w:rFonts w:ascii="宋体" w:hAnsi="宋体"/>
                <w:b/>
                <w:color w:val="000000" w:themeColor="text1"/>
                <w:sz w:val="20"/>
                <w:szCs w:val="20"/>
              </w:rPr>
              <w:t>45</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8" w:name="注册地址"/>
            <w:r>
              <w:rPr>
                <w:rFonts w:ascii="宋体" w:hAnsi="宋体"/>
                <w:b/>
                <w:color w:val="000000" w:themeColor="text1"/>
                <w:sz w:val="20"/>
                <w:szCs w:val="20"/>
              </w:rPr>
              <w:t>大竹县东柳乡东柳村二组</w:t>
            </w:r>
            <w:bookmarkEnd w:id="8"/>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9" w:name="注册邮编"/>
            <w:r>
              <w:rPr>
                <w:rFonts w:ascii="宋体" w:hAnsi="宋体"/>
                <w:b/>
                <w:color w:val="000000" w:themeColor="text1"/>
                <w:spacing w:val="-20"/>
                <w:sz w:val="20"/>
                <w:szCs w:val="20"/>
              </w:rPr>
              <w:t>635107</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10" w:name="办公地址"/>
            <w:r>
              <w:rPr>
                <w:rFonts w:ascii="宋体" w:hAnsi="宋体"/>
                <w:b/>
                <w:color w:val="000000" w:themeColor="text1"/>
                <w:sz w:val="20"/>
                <w:szCs w:val="20"/>
              </w:rPr>
              <w:t>四川省大竹县工业园区成功大道二段五号</w:t>
            </w:r>
            <w:bookmarkEnd w:id="10"/>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1" w:name="办公邮编"/>
            <w:r>
              <w:rPr>
                <w:rFonts w:ascii="宋体" w:hAnsi="宋体"/>
                <w:b/>
                <w:color w:val="000000" w:themeColor="text1"/>
                <w:sz w:val="20"/>
                <w:szCs w:val="20"/>
              </w:rPr>
              <w:t>635107</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2" w:name="联系人"/>
            <w:r>
              <w:rPr>
                <w:rFonts w:ascii="宋体" w:hAnsi="宋体"/>
                <w:b/>
                <w:color w:val="000000" w:themeColor="text1"/>
                <w:sz w:val="20"/>
                <w:szCs w:val="20"/>
              </w:rPr>
              <w:t>陈思恩</w:t>
            </w:r>
            <w:bookmarkEnd w:id="12"/>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3" w:name="联系人电话"/>
            <w:r>
              <w:rPr>
                <w:rFonts w:ascii="宋体" w:hAnsi="宋体"/>
                <w:b/>
                <w:color w:val="000000" w:themeColor="text1"/>
                <w:sz w:val="20"/>
                <w:szCs w:val="20"/>
              </w:rPr>
              <w:t>0818-6922918</w:t>
            </w:r>
            <w:bookmarkEnd w:id="13"/>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4" w:name="联系人传真"/>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5" w:name="法人"/>
            <w:r>
              <w:rPr>
                <w:rFonts w:ascii="宋体" w:hAnsi="宋体"/>
                <w:b/>
                <w:color w:val="000000" w:themeColor="text1"/>
                <w:sz w:val="20"/>
                <w:szCs w:val="20"/>
              </w:rPr>
              <w:t>谢欣</w:t>
            </w:r>
            <w:bookmarkEnd w:id="15"/>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hint="default" w:ascii="宋体" w:hAnsi="宋体" w:eastAsia="宋体"/>
                <w:b/>
                <w:color w:val="000000" w:themeColor="text1"/>
                <w:spacing w:val="-20"/>
                <w:sz w:val="20"/>
                <w:szCs w:val="20"/>
                <w:lang w:val="en-US" w:eastAsia="zh-CN"/>
              </w:rPr>
            </w:pPr>
            <w:bookmarkStart w:id="16" w:name="最高管理者"/>
            <w:bookmarkEnd w:id="16"/>
            <w:r>
              <w:rPr>
                <w:rFonts w:hint="eastAsia" w:ascii="宋体" w:hAnsi="宋体"/>
                <w:b/>
                <w:color w:val="000000" w:themeColor="text1"/>
                <w:spacing w:val="-20"/>
                <w:sz w:val="20"/>
                <w:szCs w:val="20"/>
                <w:lang w:val="en-US" w:eastAsia="zh-CN"/>
              </w:rPr>
              <w:t>谢添</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7" w:name="管理者代表"/>
            <w:r>
              <w:rPr>
                <w:rFonts w:ascii="宋体" w:hAnsi="宋体"/>
                <w:b/>
                <w:color w:val="000000" w:themeColor="text1"/>
                <w:sz w:val="20"/>
                <w:szCs w:val="20"/>
              </w:rPr>
              <w:t>陈思恩</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8" w:name="审核范围"/>
            <w:r>
              <w:rPr>
                <w:rFonts w:ascii="宋体" w:hAnsi="宋体"/>
                <w:b/>
                <w:color w:val="000000" w:themeColor="text1"/>
                <w:sz w:val="20"/>
                <w:szCs w:val="20"/>
              </w:rPr>
              <w:t>E：高低压绝缘子、电力金具铁附件的销售所涉及场所的相关环境管理活动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O：高低压绝缘子、电力金具铁附件的销售所涉及场所的相关职业健康安全管理活动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9" w:name="专业代码"/>
            <w:r>
              <w:rPr>
                <w:rFonts w:ascii="宋体" w:hAnsi="宋体"/>
                <w:b/>
                <w:color w:val="000000" w:themeColor="text1"/>
                <w:sz w:val="20"/>
                <w:szCs w:val="20"/>
              </w:rPr>
              <w:t>E：29.12.00</w:t>
            </w:r>
          </w:p>
          <w:p>
            <w:pPr>
              <w:spacing w:line="320" w:lineRule="exact"/>
              <w:rPr>
                <w:rFonts w:ascii="宋体" w:hAnsi="宋体"/>
                <w:b/>
                <w:color w:val="000000" w:themeColor="text1"/>
                <w:sz w:val="20"/>
                <w:szCs w:val="20"/>
              </w:rPr>
            </w:pPr>
            <w:r>
              <w:rPr>
                <w:rFonts w:ascii="宋体" w:hAnsi="宋体"/>
                <w:b/>
                <w:color w:val="000000" w:themeColor="text1"/>
                <w:sz w:val="20"/>
                <w:szCs w:val="20"/>
              </w:rPr>
              <w:t>O：29.12.00</w:t>
            </w:r>
            <w:bookmarkEnd w:id="19"/>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lang w:eastAsia="zh-CN"/>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20" w:name="体系运行时间"/>
            <w:r>
              <w:rPr>
                <w:rFonts w:ascii="宋体" w:hAnsi="宋体"/>
                <w:b/>
                <w:color w:val="000000" w:themeColor="text1"/>
                <w:sz w:val="20"/>
                <w:szCs w:val="20"/>
              </w:rPr>
              <w:t>2020-07-10 0:00:00</w:t>
            </w:r>
            <w:bookmarkEnd w:id="20"/>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r>
              <w:rPr>
                <w:rFonts w:hint="eastAsia" w:ascii="宋体" w:hAnsi="宋体"/>
                <w:b/>
                <w:color w:val="000000" w:themeColor="text1"/>
                <w:sz w:val="20"/>
                <w:szCs w:val="20"/>
                <w:lang w:val="en-US" w:eastAsia="zh-CN"/>
              </w:rPr>
              <w:t>无</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rPr>
              <w:t>行政部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方针、目标管理；文件、记录控制程；管理评审；内审管理；人员、部门职能职责和权限；风险识别评价管理；环境因素识别评价管理，。外部供方管理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rPr>
              <w:t>供销部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不合格品控制；纠正和预防措施控制；策划管理；产品验收管理；服务过程管理；合同管理；采购管理；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val="en-US" w:eastAsia="zh-CN"/>
              </w:rPr>
              <w:t>技术</w:t>
            </w:r>
            <w:r>
              <w:rPr>
                <w:rFonts w:hint="eastAsia" w:ascii="宋体" w:hAnsi="宋体"/>
                <w:b/>
                <w:color w:val="000000" w:themeColor="text1"/>
                <w:sz w:val="20"/>
                <w:szCs w:val="20"/>
              </w:rPr>
              <w:t>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不合格品控制；纠正和预防措施控制；过程监控管理；产品验收管理；监视和测量设备管理；设备设施管理；</w:t>
            </w: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9"/>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11</w:t>
      </w:r>
      <w:r>
        <w:rPr>
          <w:rFonts w:hint="eastAsia"/>
          <w:b/>
          <w:color w:val="000000" w:themeColor="text1"/>
          <w:spacing w:val="-10"/>
          <w:szCs w:val="21"/>
        </w:rPr>
        <w:t>月</w:t>
      </w:r>
      <w:bookmarkStart w:id="21" w:name="OLE_LINK1"/>
      <w:r>
        <w:rPr>
          <w:rFonts w:hint="eastAsia"/>
          <w:b/>
          <w:color w:val="000000" w:themeColor="text1"/>
          <w:spacing w:val="-10"/>
          <w:szCs w:val="21"/>
          <w:lang w:val="en-US" w:eastAsia="zh-CN"/>
        </w:rPr>
        <w:t>01</w:t>
      </w:r>
      <w:r>
        <w:rPr>
          <w:rFonts w:hint="eastAsia"/>
          <w:b/>
          <w:color w:val="000000" w:themeColor="text1"/>
          <w:spacing w:val="-10"/>
          <w:szCs w:val="21"/>
        </w:rPr>
        <w:t>日</w:t>
      </w:r>
      <w:bookmarkEnd w:id="21"/>
      <w:r>
        <w:rPr>
          <w:rFonts w:hint="eastAsia"/>
          <w:b/>
          <w:color w:val="000000" w:themeColor="text1"/>
          <w:spacing w:val="-10"/>
          <w:szCs w:val="21"/>
        </w:rPr>
        <w:t>至</w:t>
      </w:r>
      <w:r>
        <w:rPr>
          <w:rFonts w:hint="eastAsia"/>
          <w:b/>
          <w:color w:val="000000" w:themeColor="text1"/>
          <w:spacing w:val="-10"/>
          <w:szCs w:val="21"/>
          <w:lang w:val="en-US" w:eastAsia="zh-CN"/>
        </w:rPr>
        <w:t>2021</w:t>
      </w:r>
      <w:r>
        <w:rPr>
          <w:rFonts w:hint="eastAsia"/>
          <w:b/>
          <w:color w:val="000000" w:themeColor="text1"/>
          <w:spacing w:val="-10"/>
          <w:szCs w:val="21"/>
        </w:rPr>
        <w:t>年</w:t>
      </w:r>
      <w:r>
        <w:rPr>
          <w:rFonts w:hint="eastAsia"/>
          <w:b/>
          <w:color w:val="000000" w:themeColor="text1"/>
          <w:spacing w:val="-10"/>
          <w:szCs w:val="21"/>
          <w:lang w:val="en-US" w:eastAsia="zh-CN"/>
        </w:rPr>
        <w:t>03</w:t>
      </w:r>
      <w:r>
        <w:rPr>
          <w:rFonts w:hint="eastAsia"/>
          <w:b/>
          <w:color w:val="000000" w:themeColor="text1"/>
          <w:spacing w:val="-10"/>
          <w:szCs w:val="21"/>
        </w:rPr>
        <w:t>月</w:t>
      </w:r>
      <w:r>
        <w:rPr>
          <w:rFonts w:hint="eastAsia"/>
          <w:b/>
          <w:color w:val="000000" w:themeColor="text1"/>
          <w:spacing w:val="-10"/>
          <w:szCs w:val="21"/>
          <w:lang w:val="en-US" w:eastAsia="zh-CN"/>
        </w:rPr>
        <w:t>22</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8"/>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组织对内外部因素、相关方需求和期望进行了充分的识别，策划和实施有效。组织确定了体系的边界，基本适用。管理体系全条款适用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9"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z w:val="20"/>
                <w:szCs w:val="20"/>
              </w:rPr>
              <w:t>□</w:t>
            </w:r>
            <w:r>
              <w:rPr>
                <w:rFonts w:hint="eastAsia" w:ascii="宋体" w:hAnsi="宋体"/>
                <w:b/>
                <w:color w:val="000000" w:themeColor="text1"/>
                <w:sz w:val="20"/>
                <w:szCs w:val="20"/>
              </w:rPr>
              <w:t>质量/■环境/■职业健康安全方针（组织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ind w:firstLine="472" w:firstLineChars="225"/>
              <w:rPr>
                <w:b/>
                <w:color w:val="000000" w:themeColor="text1"/>
              </w:rPr>
            </w:pP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预防为主，遵规守法，确保环保安全；以人为本，持续改进，实现平安和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5"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质量管理体系过程有：</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 xml:space="preserve">需要确认过程  </w:t>
            </w:r>
          </w:p>
          <w:p>
            <w:pPr>
              <w:tabs>
                <w:tab w:val="left" w:pos="540"/>
              </w:tabs>
              <w:spacing w:line="300" w:lineRule="exact"/>
              <w:ind w:left="201" w:hanging="201" w:hangingChars="100"/>
              <w:rPr>
                <w:rFonts w:ascii="宋体" w:hAnsi="宋体"/>
                <w:b/>
                <w:color w:val="000000" w:themeColor="text1"/>
                <w:szCs w:val="21"/>
              </w:rPr>
            </w:pPr>
            <w:r>
              <w:rPr>
                <w:b/>
                <w:color w:val="000000" w:themeColor="text1"/>
                <w:sz w:val="20"/>
                <w:szCs w:val="20"/>
              </w:rPr>
              <w:pict>
                <v:shape id="_x0000_s2050" o:spid="_x0000_s2050" o:spt="32" type="#_x0000_t32" style="position:absolute;left:0pt;margin-left:157.9pt;margin-top:12.75pt;height:0pt;width:261.75pt;z-index:251662336;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2051" o:spid="_x0000_s2051" o:spt="32" type="#_x0000_t32" style="position:absolute;left:0pt;margin-left:55.15pt;margin-top:12.75pt;height:0pt;width:42pt;z-index:251661312;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，不适用理由：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15" w:firstLineChars="150"/>
              <w:rPr>
                <w:rFonts w:asciiTheme="minorEastAsia" w:hAnsiTheme="minorEastAsia" w:eastAsiaTheme="minorEastAsia"/>
                <w:b/>
                <w:color w:val="000000" w:themeColor="text1"/>
                <w:sz w:val="20"/>
                <w:szCs w:val="20"/>
              </w:rPr>
            </w:pPr>
            <w:r>
              <w:rPr>
                <w:rFonts w:hint="eastAsia" w:asciiTheme="minorEastAsia" w:hAnsiTheme="minorEastAsia" w:eastAsiaTheme="minorEastAsia"/>
                <w:bCs/>
                <w:iCs/>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420" w:firstLineChars="200"/>
              <w:rPr>
                <w:rFonts w:ascii="宋体" w:hAnsi="宋体"/>
                <w:b/>
                <w:color w:val="000000" w:themeColor="text1"/>
                <w:spacing w:val="-8"/>
                <w:sz w:val="20"/>
                <w:szCs w:val="20"/>
              </w:rPr>
            </w:pPr>
            <w:r>
              <w:rPr>
                <w:rFonts w:hint="eastAsia" w:ascii="宋体" w:hAnsi="宋体"/>
                <w:color w:val="000000" w:themeColor="text1"/>
              </w:rPr>
              <w:t>组织建立了危险源识别、评价控制程序，识别评价了危险源、风险相关的过程，评价出了重要危险源，与之相关的过程有销售，针对重要危险源制定了管理方案。控制措施实施有效。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2"/>
              <w:numPr>
                <w:ilvl w:val="0"/>
                <w:numId w:val="2"/>
              </w:numPr>
              <w:tabs>
                <w:tab w:val="left" w:pos="540"/>
              </w:tabs>
              <w:spacing w:line="300" w:lineRule="exact"/>
              <w:ind w:firstLineChars="0"/>
              <w:rPr>
                <w:rFonts w:ascii="宋体" w:hAnsi="宋体"/>
                <w:b/>
                <w:color w:val="000000" w:themeColor="text1"/>
                <w:szCs w:val="21"/>
                <w:u w:val="single"/>
              </w:rPr>
            </w:pPr>
            <w:r>
              <w:rPr>
                <w:rFonts w:hint="eastAsia" w:ascii="宋体" w:hAnsi="宋体"/>
                <w:b/>
                <w:color w:val="000000" w:themeColor="text1"/>
                <w:szCs w:val="21"/>
              </w:rPr>
              <w:t>获取法律法规项，■法律法规获取充分，□法律法规获取有遗漏，缺少</w:t>
            </w:r>
          </w:p>
          <w:p>
            <w:pPr>
              <w:pStyle w:val="12"/>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2"/>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2"/>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目标得到沟通和监视评价，通过数据的汇总统计、描述性统计等方法对目标进行了测量，总体已达到或超过了规定的目标值</w:t>
            </w:r>
          </w:p>
          <w:p>
            <w:pPr>
              <w:ind w:firstLine="525" w:firstLineChars="250"/>
              <w:rPr>
                <w:color w:val="000000"/>
                <w:szCs w:val="21"/>
              </w:rPr>
            </w:pPr>
            <w:r>
              <w:rPr>
                <w:rFonts w:hint="eastAsia"/>
                <w:color w:val="000000"/>
                <w:szCs w:val="21"/>
              </w:rPr>
              <w:t>环境、职业健康安全目标：</w:t>
            </w:r>
          </w:p>
          <w:p>
            <w:pPr>
              <w:numPr>
                <w:ilvl w:val="0"/>
                <w:numId w:val="3"/>
              </w:numPr>
              <w:tabs>
                <w:tab w:val="left" w:pos="900"/>
              </w:tabs>
              <w:spacing w:line="360" w:lineRule="auto"/>
              <w:rPr>
                <w:rFonts w:ascii="宋体" w:hAnsi="宋体"/>
                <w:color w:val="000000"/>
                <w:szCs w:val="21"/>
              </w:rPr>
            </w:pPr>
            <w:r>
              <w:rPr>
                <w:rFonts w:hint="eastAsia" w:ascii="宋体" w:hAnsi="宋体"/>
                <w:color w:val="000000"/>
                <w:szCs w:val="21"/>
              </w:rPr>
              <w:t>火灾发生率为0；</w:t>
            </w:r>
          </w:p>
          <w:p>
            <w:pPr>
              <w:numPr>
                <w:ilvl w:val="0"/>
                <w:numId w:val="3"/>
              </w:numPr>
              <w:tabs>
                <w:tab w:val="left" w:pos="900"/>
              </w:tabs>
              <w:spacing w:line="360" w:lineRule="auto"/>
              <w:rPr>
                <w:rFonts w:ascii="宋体" w:hAnsi="宋体"/>
                <w:color w:val="000000"/>
                <w:szCs w:val="21"/>
              </w:rPr>
            </w:pPr>
            <w:r>
              <w:rPr>
                <w:rFonts w:hint="eastAsia" w:ascii="宋体" w:hAnsi="宋体"/>
                <w:color w:val="000000"/>
                <w:szCs w:val="21"/>
              </w:rPr>
              <w:t>员工意外伤害为0；</w:t>
            </w:r>
          </w:p>
          <w:p>
            <w:pPr>
              <w:numPr>
                <w:ilvl w:val="0"/>
                <w:numId w:val="3"/>
              </w:numPr>
              <w:tabs>
                <w:tab w:val="left" w:pos="900"/>
              </w:tabs>
              <w:spacing w:line="360" w:lineRule="auto"/>
              <w:rPr>
                <w:rFonts w:ascii="宋体" w:hAnsi="宋体"/>
                <w:b/>
                <w:color w:val="000000" w:themeColor="text1"/>
              </w:rPr>
            </w:pPr>
            <w:r>
              <w:rPr>
                <w:rFonts w:hint="eastAsia" w:ascii="宋体" w:hAnsi="宋体"/>
                <w:color w:val="000000"/>
                <w:szCs w:val="21"/>
              </w:rPr>
              <w:t>固废处置合规率100%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rPr>
              <w:t>环境和职业健康安全</w:t>
            </w:r>
            <w:r>
              <w:rPr>
                <w:rFonts w:hint="eastAsia" w:ascii="宋体" w:hAnsi="宋体" w:cs="宋体"/>
                <w:color w:val="000000" w:themeColor="text1"/>
              </w:rPr>
              <w:t>管理体系，体系文件对管理体系各过程进行了识别确定、明确了各要素间的相互关系及其管控要求。公司体系文件于</w:t>
            </w:r>
            <w:r>
              <w:rPr>
                <w:rFonts w:hint="eastAsia" w:ascii="宋体" w:hAnsi="宋体" w:cs="Arial"/>
                <w:color w:val="000000" w:themeColor="text1"/>
              </w:rPr>
              <w:t>2020</w:t>
            </w:r>
            <w:r>
              <w:rPr>
                <w:rFonts w:hint="eastAsia" w:ascii="宋体" w:hAnsi="宋体" w:cs="宋体"/>
                <w:color w:val="000000" w:themeColor="text1"/>
              </w:rPr>
              <w:t>年</w:t>
            </w:r>
            <w:r>
              <w:rPr>
                <w:rFonts w:hint="eastAsia" w:ascii="宋体" w:hAnsi="宋体" w:cs="宋体"/>
                <w:color w:val="000000" w:themeColor="text1"/>
                <w:lang w:val="en-US" w:eastAsia="zh-CN"/>
              </w:rPr>
              <w:t>11</w:t>
            </w:r>
            <w:r>
              <w:rPr>
                <w:rFonts w:hint="eastAsia" w:ascii="宋体" w:hAnsi="宋体" w:cs="宋体"/>
                <w:color w:val="000000" w:themeColor="text1"/>
              </w:rPr>
              <w:t>月1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lang w:eastAsia="zh-CN"/>
              </w:rPr>
              <w:t>高低压绝缘子、电力金具铁附件的销售</w:t>
            </w:r>
            <w:r>
              <w:rPr>
                <w:rFonts w:hint="eastAsia" w:ascii="宋体" w:hAnsi="宋体"/>
                <w:bCs/>
                <w:iCs/>
                <w:szCs w:val="22"/>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2"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0" w:lineRule="atLeast"/>
              <w:jc w:val="left"/>
              <w:rPr>
                <w:rFonts w:ascii="宋体" w:hAnsi="宋体"/>
                <w:b/>
                <w:color w:val="000000" w:themeColor="text1"/>
                <w:sz w:val="20"/>
                <w:szCs w:val="20"/>
              </w:rPr>
            </w:pPr>
            <w:r>
              <w:rPr>
                <w:rFonts w:hint="eastAsia" w:ascii="宋体" w:hAnsi="宋体"/>
                <w:b/>
                <w:color w:val="000000" w:themeColor="text1"/>
                <w:sz w:val="20"/>
                <w:szCs w:val="20"/>
              </w:rPr>
              <w:t>设备设施（包括信息系统）、</w:t>
            </w:r>
            <w:r>
              <w:rPr>
                <w:rFonts w:hint="eastAsia" w:ascii="宋体" w:hAnsi="宋体"/>
                <w:szCs w:val="21"/>
              </w:rPr>
              <w:t>办公场所</w:t>
            </w:r>
            <w:r>
              <w:rPr>
                <w:rFonts w:hint="eastAsia" w:ascii="宋体" w:hAnsi="宋体" w:cs="宋体"/>
                <w:szCs w:val="21"/>
              </w:rPr>
              <w:t>面积</w:t>
            </w:r>
            <w:r>
              <w:rPr>
                <w:rFonts w:hint="eastAsia" w:ascii="宋体" w:hAnsi="宋体" w:cs="宋体"/>
                <w:szCs w:val="21"/>
                <w:lang w:val="en-US" w:eastAsia="zh-CN"/>
              </w:rPr>
              <w:t>100</w:t>
            </w:r>
            <w:r>
              <w:rPr>
                <w:rFonts w:hint="eastAsia" w:ascii="宋体" w:hAnsi="宋体" w:cs="宋体"/>
                <w:szCs w:val="21"/>
              </w:rPr>
              <w:t>平方左右</w:t>
            </w:r>
            <w:r>
              <w:rPr>
                <w:rFonts w:hint="eastAsia" w:ascii="宋体" w:hAnsi="宋体" w:cs="宋体"/>
                <w:szCs w:val="21"/>
                <w:lang w:eastAsia="zh-CN"/>
              </w:rPr>
              <w:t>，</w:t>
            </w:r>
            <w:r>
              <w:rPr>
                <w:rFonts w:hint="eastAsia" w:ascii="宋体" w:hAnsi="宋体" w:cs="宋体"/>
                <w:szCs w:val="21"/>
                <w:lang w:val="en-US" w:eastAsia="zh-CN"/>
              </w:rPr>
              <w:t>库房面积5000平方左右</w:t>
            </w:r>
            <w:r>
              <w:rPr>
                <w:rFonts w:hint="eastAsia" w:ascii="宋体" w:hAnsi="宋体" w:cs="宋体"/>
                <w:szCs w:val="21"/>
              </w:rPr>
              <w:t>。</w:t>
            </w:r>
            <w:r>
              <w:rPr>
                <w:rFonts w:hint="eastAsia" w:ascii="宋体" w:hAnsi="宋体" w:cs="宋体"/>
                <w:szCs w:val="21"/>
              </w:rPr>
              <w:t>主要设备包括电脑、打印机</w:t>
            </w:r>
            <w:r>
              <w:rPr>
                <w:rFonts w:hint="eastAsia" w:ascii="宋体" w:hAnsi="宋体" w:cs="宋体"/>
                <w:szCs w:val="21"/>
              </w:rPr>
              <w:t>等办公设备设备，可以满足</w:t>
            </w:r>
            <w:r>
              <w:rPr>
                <w:rFonts w:hint="eastAsia" w:ascii="宋体" w:hAnsi="宋体" w:cs="宋体"/>
                <w:szCs w:val="21"/>
                <w:lang w:eastAsia="zh-CN"/>
              </w:rPr>
              <w:t>高低压绝缘子、电力金具铁附件的销售</w:t>
            </w:r>
            <w:r>
              <w:rPr>
                <w:rFonts w:hint="eastAsia" w:ascii="宋体" w:hAnsi="宋体" w:cs="宋体"/>
                <w:szCs w:val="21"/>
              </w:rPr>
              <w:t>的需要</w:t>
            </w:r>
            <w:r>
              <w:rPr>
                <w:rFonts w:hint="eastAsia" w:ascii="宋体" w:hAnsi="宋体" w:cs="宋体"/>
                <w:szCs w:val="21"/>
              </w:rPr>
              <w:t>。对设备按月方式进行点检维护保养，并实施。特种设备：无。公司未建立信息管理系统用于生产和服务。</w:t>
            </w:r>
          </w:p>
          <w:p>
            <w:pPr>
              <w:spacing w:line="240" w:lineRule="exact"/>
              <w:rPr>
                <w:rFonts w:ascii="宋体" w:hAnsi="宋体"/>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rPr>
                <w:rFonts w:ascii="宋体" w:hAnsi="宋体"/>
                <w:b/>
                <w:color w:val="000000" w:themeColor="text1"/>
                <w:sz w:val="20"/>
                <w:szCs w:val="20"/>
              </w:rPr>
            </w:pPr>
            <w:r>
              <w:rPr>
                <w:rFonts w:hint="eastAsia" w:ascii="宋体" w:hAnsi="宋体" w:cs="宋体"/>
                <w:szCs w:val="21"/>
              </w:rPr>
              <w:t>办公、生产服务场所和内设备布置合理，通道畅通，照明设施齐全，均配备了消防设施等设施。办公室明亮，培训场所光线较充足。每月由</w:t>
            </w:r>
            <w:r>
              <w:rPr>
                <w:rFonts w:hint="eastAsia" w:ascii="宋体" w:hAnsi="宋体" w:cs="宋体"/>
                <w:szCs w:val="21"/>
                <w:lang w:eastAsia="zh-CN"/>
              </w:rPr>
              <w:t>行政部</w:t>
            </w:r>
            <w:r>
              <w:rPr>
                <w:rFonts w:hint="eastAsia" w:ascii="宋体" w:hAnsi="宋体" w:cs="宋体"/>
                <w:szCs w:val="21"/>
              </w:rPr>
              <w:t>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pPr>
            <w:r>
              <w:rPr>
                <w:rFonts w:hint="eastAsia"/>
              </w:rPr>
              <w:t>监视和测量资源</w:t>
            </w:r>
          </w:p>
          <w:p>
            <w:pPr>
              <w:pStyle w:val="3"/>
            </w:pPr>
            <w:r>
              <w:rPr>
                <w:rFonts w:hint="eastAsi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sz w:val="20"/>
                <w:szCs w:val="20"/>
              </w:rPr>
            </w:pPr>
            <w:r>
              <w:rPr>
                <w:rFonts w:hint="eastAsia" w:ascii="宋体" w:hAnsi="宋体"/>
                <w:b/>
                <w:sz w:val="20"/>
                <w:szCs w:val="20"/>
              </w:rPr>
              <w:t>环保设施：</w:t>
            </w:r>
          </w:p>
          <w:p>
            <w:pPr>
              <w:spacing w:line="240" w:lineRule="exact"/>
              <w:rPr>
                <w:rFonts w:ascii="宋体" w:hAnsi="宋体"/>
                <w:sz w:val="20"/>
                <w:szCs w:val="20"/>
              </w:rPr>
            </w:pPr>
            <w:r>
              <w:rPr>
                <w:rFonts w:hint="eastAsia" w:ascii="宋体" w:hAnsi="宋体"/>
                <w:sz w:val="20"/>
                <w:szCs w:val="20"/>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sz w:val="20"/>
                <w:szCs w:val="20"/>
              </w:rPr>
            </w:pPr>
            <w:r>
              <w:rPr>
                <w:rFonts w:hint="eastAsia" w:ascii="宋体" w:hAnsi="宋体"/>
                <w:b/>
                <w:sz w:val="20"/>
                <w:szCs w:val="20"/>
              </w:rPr>
              <w:t>职业健康安全设施：</w:t>
            </w:r>
          </w:p>
          <w:p>
            <w:pPr>
              <w:spacing w:line="240" w:lineRule="exact"/>
              <w:rPr>
                <w:rFonts w:ascii="宋体" w:hAnsi="宋体"/>
                <w:sz w:val="20"/>
                <w:szCs w:val="20"/>
              </w:rPr>
            </w:pPr>
            <w:r>
              <w:rPr>
                <w:rFonts w:hint="eastAsia" w:ascii="宋体" w:hAnsi="宋体"/>
                <w:sz w:val="20"/>
                <w:szCs w:val="20"/>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1"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内部沟通的效果：良好</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外部信息的接收、成文并答复的情况（E、S填写）：对会议通知和规定等登记处理</w:t>
            </w:r>
          </w:p>
          <w:p>
            <w:pPr>
              <w:spacing w:line="240" w:lineRule="exact"/>
              <w:rPr>
                <w:rFonts w:ascii="楷体_GB2312" w:eastAsia="楷体_GB2312"/>
                <w:b/>
                <w:color w:val="000000" w:themeColor="text1"/>
                <w:sz w:val="20"/>
                <w:szCs w:val="20"/>
              </w:rPr>
            </w:pPr>
          </w:p>
          <w:p>
            <w:pPr>
              <w:spacing w:line="240" w:lineRule="exact"/>
              <w:rPr>
                <w:szCs w:val="21"/>
              </w:rPr>
            </w:pPr>
            <w:r>
              <w:rPr>
                <w:rFonts w:hint="eastAsia" w:ascii="楷体_GB2312" w:eastAsia="楷体_GB2312"/>
                <w:b/>
                <w:color w:val="000000" w:themeColor="text1"/>
                <w:sz w:val="20"/>
                <w:szCs w:val="20"/>
              </w:rPr>
              <w:t>重要环境因素信息对外交流情况（EMS填写）：</w:t>
            </w:r>
            <w:r>
              <w:rPr>
                <w:rFonts w:hint="eastAsia"/>
                <w:szCs w:val="21"/>
              </w:rPr>
              <w:t>主要通过网络、交流及公开信、合同等方式进行，并达成一致性意见实施有效控制</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OHSMS事务代表协商和交流的情况（OHSMS填写）：</w:t>
            </w:r>
            <w:r>
              <w:rPr>
                <w:rFonts w:hint="eastAsia" w:ascii="宋体" w:hAnsi="宋体" w:cs="Arial"/>
                <w:szCs w:val="21"/>
              </w:rPr>
              <w:t>与安全健康管理有关的法律法规，包括《劳动合同法》、《工伤保险条例》等关于员工权益、保险等内容</w:t>
            </w:r>
          </w:p>
          <w:p>
            <w:pPr>
              <w:spacing w:line="240" w:lineRule="exact"/>
              <w:rPr>
                <w:rFonts w:ascii="楷体_GB2312" w:eastAsia="楷体_GB2312"/>
                <w:b/>
                <w:color w:val="000000" w:themeColor="text1"/>
                <w:szCs w:val="21"/>
              </w:rPr>
            </w:pP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(应说明相关证据)：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p>
            <w:pPr>
              <w:spacing w:line="300" w:lineRule="exact"/>
              <w:jc w:val="lef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tabs>
                <w:tab w:val="left" w:pos="2552"/>
              </w:tabs>
              <w:spacing w:line="360" w:lineRule="exact"/>
              <w:ind w:firstLine="315" w:firstLineChars="150"/>
              <w:rPr>
                <w:rFonts w:asciiTheme="minorEastAsia" w:hAnsiTheme="minorEastAsia" w:eastAsiaTheme="minorEastAsia"/>
                <w:bCs/>
                <w:iCs/>
              </w:rPr>
            </w:pPr>
            <w:r>
              <w:rPr>
                <w:rFonts w:hint="eastAsia" w:asciiTheme="minorEastAsia" w:hAnsiTheme="minorEastAsia" w:eastAsiaTheme="minorEastAsia"/>
                <w:bCs/>
                <w:iCs/>
              </w:rPr>
              <w:t>组织重要环境因素为固废排放和潜在火灾，需要应对的风险和机遇相关的过程为施工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等。</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tabs>
                <w:tab w:val="left" w:pos="2552"/>
              </w:tabs>
              <w:spacing w:line="360" w:lineRule="exact"/>
              <w:ind w:firstLine="315" w:firstLineChars="150"/>
              <w:rPr>
                <w:rFonts w:asciiTheme="minorEastAsia" w:hAnsiTheme="minorEastAsia" w:eastAsiaTheme="minorEastAsia"/>
                <w:bCs/>
                <w:iCs/>
              </w:rPr>
            </w:pPr>
            <w:r>
              <w:rPr>
                <w:rFonts w:hint="eastAsia" w:asciiTheme="minorEastAsia" w:hAnsiTheme="minorEastAsia" w:eastAsiaTheme="minorEastAsia"/>
                <w:bCs/>
                <w:iCs/>
              </w:rPr>
              <w:t>组织建立了危险源识别、评价控制程序，识别评价了危险源、风险相关的过程，评价出了重要危险源（火灾、意外伤害等），与之相关的过程有销售过程，针对不可接受风险制定了管理方案。控制措施实施有效。</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asciiTheme="minorEastAsia" w:hAnsiTheme="minorEastAsia" w:eastAsiaTheme="minorEastAsia"/>
                <w:b/>
                <w:color w:val="000000" w:themeColor="text1"/>
                <w:spacing w:val="-4"/>
                <w:sz w:val="20"/>
                <w:szCs w:val="20"/>
              </w:rPr>
            </w:pPr>
            <w:r>
              <w:rPr>
                <w:rFonts w:hint="eastAsia" w:asciiTheme="minorEastAsia" w:hAnsiTheme="minorEastAsia" w:eastAsiaTheme="minorEastAsia"/>
                <w:bCs/>
                <w:iCs/>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sz w:val="20"/>
                <w:szCs w:val="20"/>
              </w:rPr>
              <w:t>10. 对特种设备的维护; （适用时）</w:t>
            </w:r>
          </w:p>
          <w:p>
            <w:pPr>
              <w:spacing w:line="240" w:lineRule="exact"/>
              <w:rPr>
                <w:b/>
                <w:sz w:val="20"/>
                <w:szCs w:val="20"/>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sz w:val="20"/>
                <w:szCs w:val="20"/>
              </w:rPr>
              <w:t>11 .对危险化学品销售、使用、储存、运输处置，规定的执行力度(必要时); （适用时）</w:t>
            </w:r>
          </w:p>
          <w:p>
            <w:pPr>
              <w:spacing w:line="240" w:lineRule="exact"/>
              <w:rPr>
                <w:sz w:val="20"/>
                <w:szCs w:val="20"/>
              </w:rPr>
            </w:pPr>
            <w:r>
              <w:rPr>
                <w:rFonts w:hint="eastAsia"/>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105" w:firstLineChars="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w:t>
            </w:r>
            <w:r>
              <w:rPr>
                <w:rFonts w:hint="eastAsia" w:ascii="宋体" w:hAnsi="宋体" w:cs="宋体"/>
                <w:color w:val="000000"/>
                <w:szCs w:val="21"/>
                <w:highlight w:val="none"/>
              </w:rPr>
              <w:t>标值。通</w:t>
            </w:r>
            <w:r>
              <w:rPr>
                <w:rFonts w:hint="eastAsia" w:ascii="宋体" w:hAnsi="宋体" w:cs="宋体"/>
                <w:szCs w:val="21"/>
                <w:highlight w:val="none"/>
              </w:rPr>
              <w:t>过2020年</w:t>
            </w:r>
            <w:r>
              <w:rPr>
                <w:rFonts w:hint="eastAsia" w:ascii="宋体" w:hAnsi="宋体" w:cs="宋体"/>
                <w:szCs w:val="21"/>
                <w:highlight w:val="none"/>
                <w:lang w:val="en-US" w:eastAsia="zh-CN"/>
              </w:rPr>
              <w:t>12月</w:t>
            </w:r>
            <w:r>
              <w:rPr>
                <w:rFonts w:hint="eastAsia" w:ascii="宋体" w:hAnsi="宋体" w:cs="宋体"/>
                <w:szCs w:val="21"/>
                <w:highlight w:val="none"/>
              </w:rPr>
              <w:t>-</w:t>
            </w:r>
            <w:r>
              <w:rPr>
                <w:rFonts w:hint="eastAsia" w:ascii="宋体" w:hAnsi="宋体" w:cs="宋体"/>
                <w:szCs w:val="21"/>
                <w:highlight w:val="none"/>
                <w:lang w:val="en-US" w:eastAsia="zh-CN"/>
              </w:rPr>
              <w:t>2021年2</w:t>
            </w:r>
            <w:r>
              <w:rPr>
                <w:rFonts w:hint="eastAsia" w:ascii="宋体" w:hAnsi="宋体" w:cs="宋体"/>
                <w:szCs w:val="21"/>
                <w:highlight w:val="none"/>
              </w:rPr>
              <w:t>月目</w:t>
            </w:r>
            <w:r>
              <w:rPr>
                <w:rFonts w:hint="eastAsia" w:ascii="宋体" w:hAnsi="宋体" w:cs="宋体"/>
                <w:color w:val="000000"/>
                <w:szCs w:val="21"/>
                <w:highlight w:val="none"/>
              </w:rPr>
              <w:t>标</w:t>
            </w:r>
            <w:r>
              <w:rPr>
                <w:rFonts w:hint="eastAsia" w:ascii="宋体" w:hAnsi="宋体" w:cs="宋体"/>
                <w:color w:val="000000"/>
                <w:szCs w:val="21"/>
              </w:rPr>
              <w:t>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5" w:leftChars="50" w:firstLine="315" w:firstLineChars="150"/>
              <w:rPr>
                <w:b/>
                <w:color w:val="000000" w:themeColor="text1"/>
                <w:sz w:val="20"/>
                <w:szCs w:val="20"/>
              </w:rPr>
            </w:pPr>
            <w:r>
              <w:rPr>
                <w:rFonts w:hint="eastAsia" w:ascii="宋体" w:hAnsi="宋体"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400" w:lineRule="exact"/>
              <w:rPr>
                <w:b/>
                <w:color w:val="FF0000"/>
                <w:sz w:val="20"/>
                <w:szCs w:val="20"/>
              </w:rPr>
            </w:pPr>
            <w:r>
              <w:rPr>
                <w:rFonts w:hint="eastAsia" w:ascii="宋体" w:hAnsi="宋体"/>
                <w:szCs w:val="21"/>
              </w:rPr>
              <w:t>建立有《内部审核控制程序》，规定了内审频次一年一次，内审时间：</w:t>
            </w:r>
            <w:r>
              <w:rPr>
                <w:rFonts w:hint="eastAsia" w:ascii="宋体" w:hAnsi="宋体" w:cs="Times New Roman"/>
                <w:szCs w:val="21"/>
                <w:lang w:eastAsia="zh-CN"/>
              </w:rPr>
              <w:t>202</w:t>
            </w:r>
            <w:r>
              <w:rPr>
                <w:rFonts w:hint="eastAsia" w:ascii="宋体" w:hAnsi="宋体" w:cs="Times New Roman"/>
                <w:szCs w:val="21"/>
                <w:lang w:val="en-US" w:eastAsia="zh-CN"/>
              </w:rPr>
              <w:t>1</w:t>
            </w:r>
            <w:r>
              <w:rPr>
                <w:rFonts w:hint="eastAsia" w:ascii="宋体" w:hAnsi="宋体" w:cs="Times New Roman"/>
                <w:szCs w:val="21"/>
                <w:lang w:eastAsia="zh-CN"/>
              </w:rPr>
              <w:t>年</w:t>
            </w:r>
            <w:r>
              <w:rPr>
                <w:rFonts w:hint="eastAsia" w:ascii="宋体" w:hAnsi="宋体" w:cs="Times New Roman"/>
                <w:szCs w:val="21"/>
                <w:lang w:val="en-US" w:eastAsia="zh-CN"/>
              </w:rPr>
              <w:t>2</w:t>
            </w:r>
            <w:r>
              <w:rPr>
                <w:rFonts w:hint="eastAsia" w:ascii="宋体" w:hAnsi="宋体" w:cs="Times New Roman"/>
                <w:szCs w:val="21"/>
                <w:lang w:eastAsia="zh-CN"/>
              </w:rPr>
              <w:t>月</w:t>
            </w:r>
            <w:r>
              <w:rPr>
                <w:rFonts w:hint="eastAsia" w:ascii="宋体" w:hAnsi="宋体" w:cs="Times New Roman"/>
                <w:szCs w:val="21"/>
                <w:lang w:val="en-US" w:eastAsia="zh-CN"/>
              </w:rPr>
              <w:t>5</w:t>
            </w:r>
            <w:r>
              <w:rPr>
                <w:rFonts w:hint="eastAsia" w:ascii="宋体" w:hAnsi="宋体" w:cs="Times New Roman"/>
                <w:szCs w:val="21"/>
                <w:lang w:eastAsia="zh-CN"/>
              </w:rPr>
              <w:t>日</w:t>
            </w:r>
            <w:r>
              <w:rPr>
                <w:rFonts w:hint="eastAsia" w:ascii="宋体" w:hAnsi="宋体"/>
                <w:szCs w:val="21"/>
              </w:rPr>
              <w:t>，拟定了审核实施表，明确了内审范围，内审人员经培训合格上岗，能力满足要求，未出现审核本部门情况，内审不符合项1项，涉及行政部ES7.2条款</w:t>
            </w:r>
            <w:r>
              <w:rPr>
                <w:rFonts w:hint="eastAsia" w:ascii="宋体" w:hAnsi="宋体" w:cs="宋体"/>
                <w:szCs w:val="21"/>
              </w:rPr>
              <w:t>在审核行政部时，未见对新员工的培训记录</w:t>
            </w:r>
            <w:r>
              <w:rPr>
                <w:rFonts w:hint="eastAsia" w:ascii="宋体" w:hAnsi="宋体"/>
                <w:szCs w:val="21"/>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0"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r>
              <w:rPr>
                <w:rFonts w:hint="eastAsia" w:ascii="宋体" w:hAnsi="宋体" w:cs="宋体"/>
                <w:szCs w:val="21"/>
              </w:rPr>
              <w:t>管理评审频次为一年一次、本次管理评审于</w:t>
            </w:r>
            <w:r>
              <w:rPr>
                <w:rFonts w:hint="eastAsia" w:ascii="宋体" w:hAnsi="宋体"/>
                <w:szCs w:val="21"/>
              </w:rPr>
              <w:t>202</w:t>
            </w:r>
            <w:r>
              <w:rPr>
                <w:rFonts w:hint="eastAsia" w:ascii="宋体" w:hAnsi="宋体"/>
                <w:szCs w:val="21"/>
                <w:lang w:val="en-US" w:eastAsia="zh-CN"/>
              </w:rPr>
              <w:t>1</w:t>
            </w:r>
            <w:r>
              <w:rPr>
                <w:rFonts w:hint="eastAsia" w:ascii="宋体" w:hAnsi="宋体"/>
                <w:szCs w:val="21"/>
              </w:rPr>
              <w:t>年0</w:t>
            </w:r>
            <w:r>
              <w:rPr>
                <w:rFonts w:hint="eastAsia" w:ascii="宋体" w:hAnsi="宋体"/>
                <w:szCs w:val="21"/>
                <w:lang w:val="en-US" w:eastAsia="zh-CN"/>
              </w:rPr>
              <w:t>2</w:t>
            </w:r>
            <w:r>
              <w:rPr>
                <w:rFonts w:hint="eastAsia" w:ascii="宋体" w:hAnsi="宋体"/>
                <w:szCs w:val="21"/>
              </w:rPr>
              <w:t>月</w:t>
            </w:r>
            <w:r>
              <w:rPr>
                <w:rFonts w:hint="eastAsia" w:ascii="宋体" w:hAnsi="宋体"/>
                <w:szCs w:val="21"/>
                <w:lang w:val="en-US" w:eastAsia="zh-CN"/>
              </w:rPr>
              <w:t>2</w:t>
            </w:r>
            <w:r>
              <w:rPr>
                <w:rFonts w:hint="eastAsia" w:ascii="宋体" w:hAnsi="宋体"/>
                <w:szCs w:val="21"/>
              </w:rPr>
              <w:t>4日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ind w:firstLine="200" w:firstLineChars="100"/>
              <w:rPr>
                <w:sz w:val="20"/>
                <w:szCs w:val="20"/>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sz w:val="20"/>
                <w:szCs w:val="20"/>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240" w:lineRule="exact"/>
              <w:rPr>
                <w:b/>
                <w:sz w:val="20"/>
                <w:szCs w:val="20"/>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sz w:val="20"/>
                <w:szCs w:val="20"/>
              </w:rPr>
            </w:pPr>
            <w:r>
              <w:rPr>
                <w:rFonts w:hint="eastAsia"/>
                <w:b/>
                <w:sz w:val="20"/>
                <w:szCs w:val="20"/>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sz w:val="20"/>
                <w:szCs w:val="20"/>
              </w:rPr>
            </w:pPr>
            <w:r>
              <w:rPr>
                <w:rFonts w:hint="eastAsia"/>
                <w:b/>
                <w:sz w:val="20"/>
                <w:szCs w:val="20"/>
              </w:rPr>
              <w:t>9. 其他能够标明组织绩效、信誉的证据/信息：</w:t>
            </w:r>
          </w:p>
          <w:p>
            <w:pPr>
              <w:widowControl/>
              <w:spacing w:line="240" w:lineRule="exact"/>
              <w:rPr>
                <w:b/>
                <w:color w:val="FF0000"/>
                <w:sz w:val="20"/>
                <w:szCs w:val="20"/>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5"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b/>
                <w:color w:val="000000" w:themeColor="text1"/>
                <w:sz w:val="20"/>
                <w:szCs w:val="20"/>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b/>
                <w:color w:val="000000" w:themeColor="text1"/>
                <w:spacing w:val="-20"/>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highlight w:val="none"/>
        </w:rPr>
      </w:pPr>
      <w:r>
        <w:rPr>
          <w:rFonts w:hint="eastAsia"/>
          <w:b/>
          <w:color w:val="000000" w:themeColor="text1"/>
          <w:highlight w:val="none"/>
        </w:rPr>
        <w:t>1. 本次审核共开具不符合项报告</w:t>
      </w:r>
      <w:r>
        <w:rPr>
          <w:rFonts w:hint="eastAsia"/>
          <w:b/>
          <w:color w:val="000000" w:themeColor="text1"/>
          <w:highlight w:val="none"/>
          <w:lang w:val="en-US" w:eastAsia="zh-CN"/>
        </w:rPr>
        <w:t>1</w:t>
      </w:r>
      <w:r>
        <w:rPr>
          <w:rFonts w:hint="eastAsia"/>
          <w:b/>
          <w:color w:val="000000" w:themeColor="text1"/>
          <w:highlight w:val="none"/>
        </w:rPr>
        <w:t>项；其中</w:t>
      </w:r>
      <w:r>
        <w:rPr>
          <w:b/>
          <w:color w:val="000000" w:themeColor="text1"/>
          <w:highlight w:val="none"/>
        </w:rPr>
        <w:pict>
          <v:line id="直接连接符 1" o:spid="_x0000_s2052"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highlight w:val="none"/>
        </w:rPr>
        <w:t>严重不符合</w:t>
      </w:r>
      <w:r>
        <w:rPr>
          <w:rFonts w:hint="eastAsia"/>
          <w:b/>
          <w:color w:val="000000" w:themeColor="text1"/>
          <w:highlight w:val="none"/>
          <w:lang w:val="en-US" w:eastAsia="zh-CN"/>
        </w:rPr>
        <w:t>0</w:t>
      </w:r>
      <w:r>
        <w:rPr>
          <w:rFonts w:hint="eastAsia"/>
          <w:b/>
          <w:color w:val="000000" w:themeColor="text1"/>
          <w:highlight w:val="none"/>
        </w:rPr>
        <w:t>项，一般不符合</w:t>
      </w:r>
      <w:r>
        <w:rPr>
          <w:rFonts w:hint="eastAsia"/>
          <w:b/>
          <w:color w:val="000000" w:themeColor="text1"/>
          <w:highlight w:val="none"/>
          <w:lang w:val="en-US" w:eastAsia="zh-CN"/>
        </w:rPr>
        <w:t>1</w:t>
      </w:r>
      <w:r>
        <w:rPr>
          <w:rFonts w:hint="eastAsia"/>
          <w:b/>
          <w:color w:val="000000" w:themeColor="text1"/>
          <w:highlight w:val="none"/>
        </w:rPr>
        <w:t>项，观察项</w:t>
      </w:r>
      <w:r>
        <w:rPr>
          <w:rFonts w:hint="eastAsia"/>
          <w:b/>
          <w:color w:val="000000" w:themeColor="text1"/>
          <w:highlight w:val="none"/>
          <w:lang w:val="en-US" w:eastAsia="zh-CN"/>
        </w:rPr>
        <w:t>0</w:t>
      </w:r>
      <w:r>
        <w:rPr>
          <w:rFonts w:hint="eastAsia"/>
          <w:b/>
          <w:color w:val="000000" w:themeColor="text1"/>
          <w:highlight w:val="none"/>
        </w:rPr>
        <w:t>项</w:t>
      </w:r>
      <w:r>
        <w:rPr>
          <w:rFonts w:hint="eastAsia"/>
          <w:b/>
          <w:color w:val="000000" w:themeColor="text1"/>
          <w:highlight w:val="none"/>
          <w:lang w:eastAsia="zh-CN"/>
        </w:rPr>
        <w:t>。</w:t>
      </w:r>
      <w:r>
        <w:rPr>
          <w:rFonts w:hint="eastAsia"/>
          <w:b/>
          <w:color w:val="000000" w:themeColor="text1"/>
          <w:highlight w:val="none"/>
          <w:lang w:val="en-US" w:eastAsia="zh-CN"/>
        </w:rPr>
        <w:t>不符合项</w:t>
      </w:r>
      <w:r>
        <w:rPr>
          <w:rFonts w:hint="eastAsia"/>
          <w:b/>
          <w:color w:val="000000" w:themeColor="text1"/>
          <w:highlight w:val="none"/>
        </w:rPr>
        <w:t>分布在</w:t>
      </w:r>
      <w:r>
        <w:rPr>
          <w:rFonts w:hint="eastAsia"/>
          <w:b/>
          <w:color w:val="000000" w:themeColor="text1"/>
          <w:highlight w:val="none"/>
          <w:lang w:val="en-US" w:eastAsia="zh-CN"/>
        </w:rPr>
        <w:t>供销部</w:t>
      </w:r>
      <w:r>
        <w:rPr>
          <w:rFonts w:hint="eastAsia"/>
          <w:b/>
          <w:color w:val="000000" w:themeColor="text1"/>
          <w:highlight w:val="none"/>
        </w:rPr>
        <w:t>部门</w:t>
      </w:r>
      <w:r>
        <w:rPr>
          <w:rFonts w:hint="eastAsia"/>
          <w:b/>
          <w:color w:val="000000" w:themeColor="text1"/>
          <w:highlight w:val="none"/>
          <w:lang w:val="en-US" w:eastAsia="zh-CN"/>
        </w:rPr>
        <w:t>6.1.2 a</w:t>
      </w:r>
      <w:r>
        <w:rPr>
          <w:rFonts w:hint="eastAsia"/>
          <w:b/>
          <w:color w:val="000000" w:themeColor="text1"/>
          <w:highlight w:val="none"/>
        </w:rPr>
        <w:t>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ascii="宋体" w:hAnsi="宋体" w:eastAsia="宋体" w:cs="宋体"/>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hint="eastAsia" w:ascii="宋体" w:hAnsi="宋体" w:eastAsia="宋体"/>
          <w:b/>
          <w:color w:val="000000" w:themeColor="text1"/>
          <w:szCs w:val="21"/>
          <w:lang w:val="en-US" w:eastAsia="zh-CN"/>
        </w:rPr>
      </w:pPr>
      <w:r>
        <w:rPr>
          <w:rFonts w:hint="eastAsia"/>
          <w:b/>
          <w:color w:val="000000" w:themeColor="text1"/>
          <w:spacing w:val="-10"/>
          <w:szCs w:val="21"/>
          <w:lang w:eastAsia="zh-CN"/>
        </w:rPr>
        <w:t>■</w:t>
      </w:r>
      <w:r>
        <w:rPr>
          <w:rFonts w:hint="eastAsia" w:ascii="宋体" w:hAnsi="宋体"/>
          <w:b/>
          <w:color w:val="000000" w:themeColor="text1"/>
          <w:szCs w:val="21"/>
        </w:rPr>
        <w:t>可能影响本次审核结论可靠性的因素：</w:t>
      </w:r>
      <w:r>
        <w:rPr>
          <w:rFonts w:hint="eastAsia" w:ascii="宋体" w:hAnsi="宋体"/>
          <w:b/>
          <w:color w:val="000000" w:themeColor="text1"/>
          <w:szCs w:val="21"/>
          <w:lang w:val="en-US" w:eastAsia="zh-CN"/>
        </w:rPr>
        <w:t>无</w:t>
      </w:r>
    </w:p>
    <w:tbl>
      <w:tblPr>
        <w:tblStyle w:val="9"/>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8"/>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4"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lang w:eastAsia="zh-CN"/>
              </w:rPr>
              <w:t>■</w:t>
            </w:r>
            <w:r>
              <w:rPr>
                <w:rFonts w:hint="eastAsia"/>
                <w:b/>
                <w:color w:val="000000" w:themeColor="text1"/>
                <w:sz w:val="22"/>
                <w:szCs w:val="22"/>
              </w:rPr>
              <w:t xml:space="preserve">EMS  </w:t>
            </w:r>
            <w:r>
              <w:rPr>
                <w:rFonts w:hint="eastAsia"/>
                <w:b/>
                <w:color w:val="000000" w:themeColor="text1"/>
                <w:spacing w:val="-10"/>
                <w:szCs w:val="21"/>
                <w:lang w:eastAsia="zh-CN"/>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8"/>
                <w:szCs w:val="28"/>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4"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lang w:eastAsia="zh-CN"/>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r>
              <w:rPr>
                <w:rFonts w:hint="eastAsia" w:ascii="宋体" w:hAnsi="宋体"/>
                <w:szCs w:val="21"/>
              </w:rPr>
              <w:t>高低压绝缘子、电力金具铁附件的销售所涉及场所的相关环境管理活动</w:t>
            </w: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r>
              <w:rPr>
                <w:rFonts w:hint="eastAsia" w:ascii="宋体" w:hAnsi="宋体"/>
                <w:szCs w:val="21"/>
              </w:rPr>
              <w:t>高低压绝缘子、电力金具铁附件的销售所涉及场所的相关职业健康安全管理活动。</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4"/>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zCs w:val="21"/>
                <w:lang w:eastAsia="zh-CN"/>
              </w:rPr>
              <w:t>■</w:t>
            </w:r>
            <w:r>
              <w:rPr>
                <w:rFonts w:hint="eastAsia"/>
                <w:b/>
                <w:color w:val="000000" w:themeColor="text1"/>
                <w:szCs w:val="21"/>
              </w:rPr>
              <w:t xml:space="preserve">EMS   </w:t>
            </w:r>
            <w:r>
              <w:rPr>
                <w:rFonts w:hint="eastAsia"/>
                <w:b/>
                <w:color w:val="000000" w:themeColor="text1"/>
                <w:szCs w:val="21"/>
                <w:lang w:eastAsia="zh-CN"/>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7"/>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w:t>
      </w:r>
      <w:r>
        <w:rPr>
          <w:rFonts w:hint="eastAsia"/>
          <w:b/>
          <w:color w:val="000000" w:themeColor="text1"/>
          <w:u w:val="single"/>
          <w:lang w:val="en-US" w:eastAsia="zh-CN"/>
        </w:rPr>
        <w:t>30</w:t>
      </w:r>
      <w:r>
        <w:rPr>
          <w:rFonts w:hint="eastAsia"/>
          <w:b/>
          <w:color w:val="000000" w:themeColor="text1"/>
        </w:rPr>
        <w:t>天/严重不符合在</w:t>
      </w:r>
      <w:r>
        <w:rPr>
          <w:rFonts w:hint="eastAsia"/>
          <w:b/>
          <w:color w:val="000000" w:themeColor="text1"/>
          <w:u w:val="single"/>
          <w:lang w:val="en-US" w:eastAsia="zh-CN"/>
        </w:rPr>
        <w:t>60</w:t>
      </w:r>
      <w:r>
        <w:rPr>
          <w:rFonts w:hint="eastAsia"/>
          <w:b/>
          <w:color w:val="000000" w:themeColor="text1"/>
        </w:rPr>
        <w:t>天针对不符合原因制定并实施纠正措施。验证方式见不符合项报告。</w:t>
      </w:r>
    </w:p>
    <w:p>
      <w:pPr>
        <w:spacing w:before="156" w:beforeLines="50" w:after="156" w:afterLines="50"/>
        <w:ind w:left="1" w:leftChars="-405" w:hanging="851" w:hangingChars="326"/>
        <w:rPr>
          <w:rFonts w:hint="eastAsia" w:eastAsia="宋体"/>
          <w:b/>
          <w:color w:val="000000" w:themeColor="text1"/>
          <w:sz w:val="26"/>
          <w:szCs w:val="26"/>
          <w:lang w:val="en-US" w:eastAsia="zh-CN"/>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b/>
          <w:color w:val="000000" w:themeColor="text1"/>
          <w:sz w:val="26"/>
          <w:szCs w:val="26"/>
          <w:lang w:val="en-US" w:eastAsia="zh-CN"/>
        </w:rPr>
        <w:t>无</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66" w:leftChars="-405" w:hanging="684" w:hangingChars="326"/>
        <w:rPr>
          <w:b/>
          <w:color w:val="000000" w:themeColor="text1"/>
          <w:sz w:val="16"/>
          <w:szCs w:val="16"/>
        </w:rPr>
      </w:pPr>
      <w:r>
        <w:rPr>
          <w:rFonts w:ascii="宋体" w:hAnsi="宋体"/>
        </w:rPr>
        <w:drawing>
          <wp:anchor distT="0" distB="0" distL="114300" distR="114300" simplePos="0" relativeHeight="251723776" behindDoc="0" locked="0" layoutInCell="1" allowOverlap="1">
            <wp:simplePos x="0" y="0"/>
            <wp:positionH relativeFrom="column">
              <wp:posOffset>1865630</wp:posOffset>
            </wp:positionH>
            <wp:positionV relativeFrom="paragraph">
              <wp:posOffset>344805</wp:posOffset>
            </wp:positionV>
            <wp:extent cx="681355" cy="424180"/>
            <wp:effectExtent l="0" t="0" r="4445" b="2540"/>
            <wp:wrapNone/>
            <wp:docPr id="3" name="图片 4"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C:\Users\Administrator\Desktop\新文档 2020-01-09 10.59.53_副本.jpg"/>
                    <pic:cNvPicPr>
                      <a:picLocks noChangeAspect="1"/>
                    </pic:cNvPicPr>
                  </pic:nvPicPr>
                  <pic:blipFill>
                    <a:blip r:embed="rId6"/>
                    <a:stretch>
                      <a:fillRect/>
                    </a:stretch>
                  </pic:blipFill>
                  <pic:spPr>
                    <a:xfrm>
                      <a:off x="0" y="0"/>
                      <a:ext cx="681355" cy="424180"/>
                    </a:xfrm>
                    <a:prstGeom prst="rect">
                      <a:avLst/>
                    </a:prstGeom>
                    <a:noFill/>
                    <a:ln>
                      <a:noFill/>
                    </a:ln>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600" w:firstLineChars="250"/>
        <w:rPr>
          <w:b/>
          <w:color w:val="000000" w:themeColor="text1"/>
        </w:rPr>
      </w:pPr>
      <w:r>
        <w:rPr>
          <w:sz w:val="24"/>
        </w:rPr>
        <w:drawing>
          <wp:anchor distT="0" distB="0" distL="114300" distR="114300" simplePos="0" relativeHeight="251783168" behindDoc="0" locked="0" layoutInCell="1" allowOverlap="1">
            <wp:simplePos x="0" y="0"/>
            <wp:positionH relativeFrom="column">
              <wp:posOffset>1816100</wp:posOffset>
            </wp:positionH>
            <wp:positionV relativeFrom="paragraph">
              <wp:posOffset>84455</wp:posOffset>
            </wp:positionV>
            <wp:extent cx="628015" cy="454025"/>
            <wp:effectExtent l="0" t="0" r="12065" b="3175"/>
            <wp:wrapNone/>
            <wp:docPr id="4" name="图片 1"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C:\Users\24309\AppData\Local\Temp\WeChat Files\5990baca09647c352f1321b31faa90a.jpg"/>
                    <pic:cNvPicPr>
                      <a:picLocks noChangeAspect="1"/>
                    </pic:cNvPicPr>
                  </pic:nvPicPr>
                  <pic:blipFill>
                    <a:blip r:embed="rId7"/>
                    <a:stretch>
                      <a:fillRect/>
                    </a:stretch>
                  </pic:blipFill>
                  <pic:spPr>
                    <a:xfrm>
                      <a:off x="0" y="0"/>
                      <a:ext cx="628015" cy="454025"/>
                    </a:xfrm>
                    <a:prstGeom prst="rect">
                      <a:avLst/>
                    </a:prstGeom>
                    <a:noFill/>
                    <a:ln>
                      <a:noFill/>
                    </a:ln>
                  </pic:spPr>
                </pic:pic>
              </a:graphicData>
            </a:graphic>
          </wp:anchor>
        </w:drawing>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rFonts w:hint="default"/>
          <w:b/>
          <w:color w:val="000000" w:themeColor="text1"/>
          <w:sz w:val="16"/>
          <w:szCs w:val="16"/>
          <w:lang w:val="en-US"/>
        </w:rPr>
      </w:pPr>
      <w:r>
        <w:rPr>
          <w:rFonts w:hint="eastAsia"/>
          <w:b/>
          <w:color w:val="000000" w:themeColor="text1"/>
        </w:rPr>
        <w:t>日期</w:t>
      </w:r>
      <w:r>
        <w:rPr>
          <w:rFonts w:hint="eastAsia"/>
          <w:b/>
          <w:color w:val="000000" w:themeColor="text1"/>
          <w:lang w:val="en-US" w:eastAsia="zh-CN"/>
        </w:rPr>
        <w:t xml:space="preserve"> ：2021年03月22日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highlight w:val="none"/>
        </w:rPr>
      </w:pPr>
      <w:bookmarkStart w:id="23" w:name="_GoBack"/>
      <w:r>
        <w:rPr>
          <w:rFonts w:hint="eastAsia"/>
          <w:b/>
          <w:bCs/>
          <w:color w:val="000000" w:themeColor="text1"/>
          <w:szCs w:val="21"/>
          <w:highlight w:val="none"/>
        </w:rPr>
        <w:t>1.  审核中发现的</w:t>
      </w:r>
      <w:r>
        <w:rPr>
          <w:rFonts w:hint="eastAsia"/>
          <w:b/>
          <w:color w:val="000000" w:themeColor="text1"/>
          <w:spacing w:val="-10"/>
          <w:szCs w:val="21"/>
          <w:highlight w:val="none"/>
        </w:rPr>
        <w:t>□</w:t>
      </w:r>
      <w:r>
        <w:rPr>
          <w:rFonts w:hint="eastAsia"/>
          <w:b/>
          <w:color w:val="000000" w:themeColor="text1"/>
          <w:szCs w:val="21"/>
          <w:highlight w:val="none"/>
        </w:rPr>
        <w:t>QMS(   )个一般不符合，(  )个严重不符合，</w:t>
      </w:r>
      <w:r>
        <w:rPr>
          <w:rFonts w:hint="eastAsia"/>
          <w:b/>
          <w:color w:val="000000" w:themeColor="text1"/>
          <w:spacing w:val="-10"/>
          <w:szCs w:val="21"/>
          <w:highlight w:val="none"/>
        </w:rPr>
        <w:t>□</w:t>
      </w:r>
      <w:r>
        <w:rPr>
          <w:rFonts w:hint="eastAsia"/>
          <w:b/>
          <w:color w:val="000000" w:themeColor="text1"/>
          <w:szCs w:val="21"/>
          <w:highlight w:val="none"/>
        </w:rPr>
        <w:t>验证合格</w:t>
      </w:r>
      <w:r>
        <w:rPr>
          <w:rFonts w:hint="eastAsia"/>
          <w:b/>
          <w:color w:val="000000" w:themeColor="text1"/>
          <w:spacing w:val="-10"/>
          <w:szCs w:val="21"/>
          <w:highlight w:val="none"/>
        </w:rPr>
        <w:t>□</w:t>
      </w:r>
      <w:r>
        <w:rPr>
          <w:rFonts w:hint="eastAsia"/>
          <w:b/>
          <w:color w:val="000000" w:themeColor="text1"/>
          <w:szCs w:val="21"/>
          <w:highlight w:val="none"/>
        </w:rPr>
        <w:t>仍有问题</w:t>
      </w:r>
    </w:p>
    <w:p>
      <w:pPr>
        <w:spacing w:line="360" w:lineRule="auto"/>
        <w:rPr>
          <w:b/>
          <w:color w:val="000000" w:themeColor="text1"/>
          <w:szCs w:val="21"/>
          <w:highlight w:val="none"/>
        </w:rPr>
      </w:pPr>
      <w:r>
        <w:rPr>
          <w:rFonts w:hint="eastAsia"/>
          <w:b/>
          <w:bCs/>
          <w:color w:val="000000" w:themeColor="text1"/>
          <w:szCs w:val="21"/>
          <w:highlight w:val="none"/>
        </w:rPr>
        <w:t>审核中发现的</w:t>
      </w:r>
      <w:r>
        <w:rPr>
          <w:rFonts w:hint="eastAsia"/>
          <w:b/>
          <w:bCs/>
          <w:color w:val="000000" w:themeColor="text1"/>
          <w:szCs w:val="21"/>
          <w:highlight w:val="none"/>
          <w:lang w:eastAsia="zh-CN"/>
        </w:rPr>
        <w:t>■</w:t>
      </w:r>
      <w:r>
        <w:rPr>
          <w:rFonts w:hint="eastAsia"/>
          <w:b/>
          <w:color w:val="000000" w:themeColor="text1"/>
          <w:szCs w:val="21"/>
          <w:highlight w:val="none"/>
        </w:rPr>
        <w:t xml:space="preserve">EMS( </w:t>
      </w:r>
      <w:r>
        <w:rPr>
          <w:rFonts w:hint="eastAsia"/>
          <w:b/>
          <w:color w:val="000000" w:themeColor="text1"/>
          <w:szCs w:val="21"/>
          <w:highlight w:val="none"/>
          <w:lang w:val="en-US" w:eastAsia="zh-CN"/>
        </w:rPr>
        <w:t>1</w:t>
      </w:r>
      <w:r>
        <w:rPr>
          <w:rFonts w:hint="eastAsia"/>
          <w:b/>
          <w:color w:val="000000" w:themeColor="text1"/>
          <w:szCs w:val="21"/>
          <w:highlight w:val="none"/>
        </w:rPr>
        <w:t xml:space="preserve"> )个一般不符合，( </w:t>
      </w:r>
      <w:r>
        <w:rPr>
          <w:rFonts w:hint="eastAsia"/>
          <w:b/>
          <w:color w:val="000000" w:themeColor="text1"/>
          <w:szCs w:val="21"/>
          <w:highlight w:val="none"/>
          <w:lang w:val="en-US" w:eastAsia="zh-CN"/>
        </w:rPr>
        <w:t>0</w:t>
      </w:r>
      <w:r>
        <w:rPr>
          <w:rFonts w:hint="eastAsia"/>
          <w:b/>
          <w:color w:val="000000" w:themeColor="text1"/>
          <w:szCs w:val="21"/>
          <w:highlight w:val="none"/>
        </w:rPr>
        <w:t xml:space="preserve"> )个严重不符合，</w:t>
      </w:r>
      <w:r>
        <w:rPr>
          <w:rFonts w:hint="eastAsia"/>
          <w:b/>
          <w:color w:val="000000" w:themeColor="text1"/>
          <w:spacing w:val="-10"/>
          <w:szCs w:val="21"/>
          <w:highlight w:val="none"/>
          <w:lang w:eastAsia="zh-CN"/>
        </w:rPr>
        <w:t>■</w:t>
      </w:r>
      <w:r>
        <w:rPr>
          <w:rFonts w:hint="eastAsia"/>
          <w:b/>
          <w:color w:val="000000" w:themeColor="text1"/>
          <w:szCs w:val="21"/>
          <w:highlight w:val="none"/>
        </w:rPr>
        <w:t>验证合格</w:t>
      </w:r>
      <w:r>
        <w:rPr>
          <w:rFonts w:hint="eastAsia"/>
          <w:b/>
          <w:color w:val="000000" w:themeColor="text1"/>
          <w:spacing w:val="-10"/>
          <w:szCs w:val="21"/>
          <w:highlight w:val="none"/>
        </w:rPr>
        <w:t>□</w:t>
      </w:r>
      <w:r>
        <w:rPr>
          <w:rFonts w:hint="eastAsia"/>
          <w:b/>
          <w:color w:val="000000" w:themeColor="text1"/>
          <w:szCs w:val="21"/>
          <w:highlight w:val="none"/>
        </w:rPr>
        <w:t>仍有问题</w:t>
      </w:r>
    </w:p>
    <w:p>
      <w:pPr>
        <w:spacing w:line="360" w:lineRule="auto"/>
        <w:rPr>
          <w:b/>
          <w:color w:val="000000" w:themeColor="text1"/>
          <w:szCs w:val="21"/>
          <w:highlight w:val="none"/>
        </w:rPr>
      </w:pPr>
      <w:r>
        <w:rPr>
          <w:rFonts w:hint="eastAsia"/>
          <w:b/>
          <w:bCs/>
          <w:color w:val="000000" w:themeColor="text1"/>
          <w:szCs w:val="21"/>
          <w:highlight w:val="none"/>
        </w:rPr>
        <w:t>审核中发现的</w:t>
      </w:r>
      <w:r>
        <w:rPr>
          <w:rFonts w:hint="eastAsia"/>
          <w:b/>
          <w:color w:val="000000" w:themeColor="text1"/>
          <w:spacing w:val="-10"/>
          <w:szCs w:val="21"/>
          <w:highlight w:val="none"/>
        </w:rPr>
        <w:t>□</w:t>
      </w:r>
      <w:r>
        <w:rPr>
          <w:rFonts w:hint="eastAsia"/>
          <w:b/>
          <w:color w:val="000000" w:themeColor="text1"/>
          <w:szCs w:val="21"/>
          <w:highlight w:val="none"/>
        </w:rPr>
        <w:t>OHSMS(   )个一般不符合，(  )个严重不符合，</w:t>
      </w:r>
      <w:r>
        <w:rPr>
          <w:rFonts w:hint="eastAsia"/>
          <w:b/>
          <w:color w:val="000000" w:themeColor="text1"/>
          <w:spacing w:val="-10"/>
          <w:szCs w:val="21"/>
          <w:highlight w:val="none"/>
        </w:rPr>
        <w:t>□</w:t>
      </w:r>
      <w:r>
        <w:rPr>
          <w:rFonts w:hint="eastAsia"/>
          <w:b/>
          <w:color w:val="000000" w:themeColor="text1"/>
          <w:szCs w:val="21"/>
          <w:highlight w:val="none"/>
        </w:rPr>
        <w:t>验证合格</w:t>
      </w:r>
      <w:r>
        <w:rPr>
          <w:rFonts w:hint="eastAsia"/>
          <w:b/>
          <w:color w:val="000000" w:themeColor="text1"/>
          <w:spacing w:val="-10"/>
          <w:szCs w:val="21"/>
          <w:highlight w:val="none"/>
        </w:rPr>
        <w:t>□</w:t>
      </w:r>
      <w:r>
        <w:rPr>
          <w:rFonts w:hint="eastAsia"/>
          <w:b/>
          <w:color w:val="000000" w:themeColor="text1"/>
          <w:szCs w:val="21"/>
          <w:highlight w:val="none"/>
        </w:rPr>
        <w:t>仍有问题</w:t>
      </w:r>
    </w:p>
    <w:bookmarkEnd w:id="23"/>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843" w:firstLineChars="400"/>
        <w:rPr>
          <w:b/>
          <w:color w:val="000000" w:themeColor="text1"/>
          <w:szCs w:val="21"/>
        </w:rPr>
      </w:pPr>
      <w:r>
        <w:rPr>
          <w:rFonts w:hint="eastAsia"/>
          <w:b/>
          <w:color w:val="000000" w:themeColor="text1"/>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ascii="宋体" w:hAnsi="宋体"/>
        </w:rPr>
        <w:drawing>
          <wp:anchor distT="0" distB="0" distL="114300" distR="114300" simplePos="0" relativeHeight="251849728" behindDoc="0" locked="0" layoutInCell="1" allowOverlap="1">
            <wp:simplePos x="0" y="0"/>
            <wp:positionH relativeFrom="column">
              <wp:posOffset>943610</wp:posOffset>
            </wp:positionH>
            <wp:positionV relativeFrom="paragraph">
              <wp:posOffset>81280</wp:posOffset>
            </wp:positionV>
            <wp:extent cx="681355" cy="424180"/>
            <wp:effectExtent l="0" t="0" r="4445" b="2540"/>
            <wp:wrapNone/>
            <wp:docPr id="5" name="图片 4"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C:\Users\Administrator\Desktop\新文档 2020-01-09 10.59.53_副本.jpg"/>
                    <pic:cNvPicPr>
                      <a:picLocks noChangeAspect="1"/>
                    </pic:cNvPicPr>
                  </pic:nvPicPr>
                  <pic:blipFill>
                    <a:blip r:embed="rId6"/>
                    <a:stretch>
                      <a:fillRect/>
                    </a:stretch>
                  </pic:blipFill>
                  <pic:spPr>
                    <a:xfrm>
                      <a:off x="0" y="0"/>
                      <a:ext cx="681355" cy="424180"/>
                    </a:xfrm>
                    <a:prstGeom prst="rect">
                      <a:avLst/>
                    </a:prstGeom>
                    <a:noFill/>
                    <a:ln>
                      <a:noFill/>
                    </a:ln>
                  </pic:spPr>
                </pic:pic>
              </a:graphicData>
            </a:graphic>
          </wp:anchor>
        </w:drawing>
      </w:r>
      <w:r>
        <w:rPr>
          <w:rFonts w:hint="eastAsia"/>
          <w:b/>
          <w:color w:val="000000" w:themeColor="text1"/>
          <w:szCs w:val="21"/>
        </w:rPr>
        <w:t xml:space="preserve">组长签字:                               日期:  </w:t>
      </w:r>
      <w:r>
        <w:rPr>
          <w:rFonts w:hint="eastAsia"/>
          <w:b/>
          <w:color w:val="000000" w:themeColor="text1"/>
          <w:szCs w:val="21"/>
          <w:lang w:val="en-US" w:eastAsia="zh-CN"/>
        </w:rPr>
        <w:t>2021</w:t>
      </w:r>
      <w:r>
        <w:rPr>
          <w:rFonts w:hint="eastAsia"/>
          <w:b/>
          <w:color w:val="000000" w:themeColor="text1"/>
          <w:szCs w:val="21"/>
        </w:rPr>
        <w:t>年</w:t>
      </w:r>
      <w:r>
        <w:rPr>
          <w:rFonts w:hint="eastAsia"/>
          <w:b/>
          <w:color w:val="000000" w:themeColor="text1"/>
          <w:szCs w:val="21"/>
          <w:lang w:val="en-US" w:eastAsia="zh-CN"/>
        </w:rPr>
        <w:t xml:space="preserve"> 3</w:t>
      </w:r>
      <w:r>
        <w:rPr>
          <w:rFonts w:hint="eastAsia"/>
          <w:b/>
          <w:color w:val="000000" w:themeColor="text1"/>
          <w:szCs w:val="21"/>
        </w:rPr>
        <w:t>月</w:t>
      </w:r>
      <w:r>
        <w:rPr>
          <w:rFonts w:hint="eastAsia"/>
          <w:b/>
          <w:color w:val="000000" w:themeColor="text1"/>
          <w:szCs w:val="21"/>
          <w:lang w:val="en-US" w:eastAsia="zh-CN"/>
        </w:rPr>
        <w:t xml:space="preserve"> 24 </w:t>
      </w:r>
      <w:r>
        <w:rPr>
          <w:rFonts w:hint="eastAsia"/>
          <w:b/>
          <w:color w:val="000000" w:themeColor="text1"/>
          <w:szCs w:val="2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十六、与末次会议结论不同处的说明和其他说明：(技术委员会填写)</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十七、审核报告的发放范围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b/>
          <w:color w:val="000000" w:themeColor="text1"/>
          <w:sz w:val="26"/>
          <w:szCs w:val="26"/>
        </w:rPr>
        <w:t>十八</w:t>
      </w:r>
      <w:r>
        <w:rPr>
          <w:rFonts w:hint="eastAsia" w:ascii="宋体" w:hAnsi="宋体"/>
          <w:b/>
          <w:color w:val="000000" w:themeColor="text1"/>
          <w:sz w:val="26"/>
          <w:szCs w:val="26"/>
        </w:rPr>
        <w:t>、附件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bookmarkStart w:id="22" w:name="_Hlk8555230"/>
    <w:r>
      <w:pict>
        <v:shape id="_x0000_s3073" o:spid="_x0000_s3073"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bookmarkEnd w:id="22"/>
  </w:p>
  <w:p>
    <w:pPr>
      <w:pStyle w:val="6"/>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9A40CDE"/>
    <w:multiLevelType w:val="singleLevel"/>
    <w:tmpl w:val="B9A40CDE"/>
    <w:lvl w:ilvl="0" w:tentative="0">
      <w:start w:val="1"/>
      <w:numFmt w:val="decimal"/>
      <w:lvlText w:val="%1."/>
      <w:lvlJc w:val="left"/>
      <w:pPr>
        <w:ind w:left="425" w:hanging="425"/>
      </w:pPr>
      <w:rPr>
        <w:rFonts w:hint="default"/>
      </w:rPr>
    </w:lvl>
  </w:abstractNum>
  <w:abstractNum w:abstractNumId="1">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055151"/>
    <w:rsid w:val="224B59AB"/>
    <w:rsid w:val="3EB219A7"/>
    <w:rsid w:val="57930251"/>
    <w:rsid w:val="5C8230D3"/>
    <w:rsid w:val="62DD7C5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0"/>
        <o:r id="V:Rule2" type="connector" idref="#_x0000_s205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styleId="3">
    <w:name w:val="Body Text"/>
    <w:basedOn w:val="1"/>
    <w:qFormat/>
    <w:uiPriority w:val="99"/>
  </w:style>
  <w:style w:type="paragraph" w:styleId="4">
    <w:name w:val="Balloon Text"/>
    <w:basedOn w:val="1"/>
    <w:link w:val="15"/>
    <w:semiHidden/>
    <w:unhideWhenUsed/>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uiPriority w:val="99"/>
    <w:pPr>
      <w:widowControl/>
      <w:spacing w:before="100" w:beforeAutospacing="1" w:after="100" w:afterAutospacing="1"/>
      <w:jc w:val="left"/>
    </w:pPr>
    <w:rPr>
      <w:rFonts w:ascii="宋体" w:hAnsi="宋体" w:cs="宋体"/>
      <w:kern w:val="0"/>
      <w:sz w:val="24"/>
    </w:rPr>
  </w:style>
  <w:style w:type="table" w:styleId="9">
    <w:name w:val="Table Grid"/>
    <w:basedOn w:val="8"/>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6"/>
    <w:qFormat/>
    <w:uiPriority w:val="99"/>
    <w:rPr>
      <w:rFonts w:ascii="Times New Roman" w:hAnsi="Times New Roman" w:eastAsia="宋体" w:cs="Times New Roman"/>
      <w:sz w:val="18"/>
      <w:szCs w:val="18"/>
    </w:rPr>
  </w:style>
  <w:style w:type="character" w:customStyle="1" w:styleId="14">
    <w:name w:val="页脚 Char"/>
    <w:basedOn w:val="10"/>
    <w:link w:val="5"/>
    <w:qFormat/>
    <w:uiPriority w:val="99"/>
    <w:rPr>
      <w:rFonts w:ascii="Times New Roman" w:hAnsi="Times New Roman" w:eastAsia="宋体" w:cs="Times New Roman"/>
      <w:sz w:val="18"/>
      <w:szCs w:val="18"/>
    </w:rPr>
  </w:style>
  <w:style w:type="character" w:customStyle="1" w:styleId="15">
    <w:name w:val="批注框文本 Char"/>
    <w:basedOn w:val="10"/>
    <w:link w:val="4"/>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756</Words>
  <Characters>4311</Characters>
  <Lines>35</Lines>
  <Paragraphs>10</Paragraphs>
  <TotalTime>7</TotalTime>
  <ScaleCrop>false</ScaleCrop>
  <LinksUpToDate>false</LinksUpToDate>
  <CharactersWithSpaces>5057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2021-03-22T03:24:16Z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