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贵州华力电缆有限公司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蒋谢强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现场查见，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 xml:space="preserve">公司现在销售产品大部分是自己生产的产品，极少部分为向供应商采购。负责人讲，目前采购产品的供应商为“贵阳中安科技集团有限公司”。组织不能提供对该供应商进行了合格供应商评价的记录。不符合GB/T 19001:2016 </w:t>
            </w:r>
            <w:bookmarkStart w:id="7" w:name="_GoBack"/>
            <w:bookmarkEnd w:id="7"/>
            <w:r>
              <w:rPr>
                <w:rFonts w:hint="eastAsia" w:ascii="宋体" w:hAnsi="宋体" w:cs="宋体"/>
                <w:szCs w:val="21"/>
                <w:lang w:eastAsia="zh-CN"/>
              </w:rPr>
              <w:t>标准8.4 .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3279775</wp:posOffset>
                  </wp:positionH>
                  <wp:positionV relativeFrom="paragraph">
                    <wp:posOffset>124460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12700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2021年03月22日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/>
                <w:color w:val="000000"/>
                <w:szCs w:val="21"/>
              </w:rPr>
              <w:t>2021年03月22日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/>
                <w:color w:val="000000"/>
                <w:szCs w:val="21"/>
              </w:rPr>
              <w:t>2021年03月22日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454C7C"/>
    <w:rsid w:val="67CC2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2021-03-22T02:51:05Z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