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25"/>
        <w:gridCol w:w="169"/>
        <w:gridCol w:w="90"/>
        <w:gridCol w:w="690"/>
        <w:gridCol w:w="592"/>
        <w:gridCol w:w="128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贵州华力电缆有限公司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贵州省贵阳市经济技术开发区金竹镇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蒋谢多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0851-85727580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蒋谢多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0135-2018-Q-2021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rFonts w:hint="eastAsia"/>
                <w:sz w:val="20"/>
                <w:lang w:eastAsia="zh-CN"/>
              </w:rPr>
              <w:t>低压</w:t>
            </w:r>
            <w:bookmarkStart w:id="19" w:name="_GoBack"/>
            <w:bookmarkEnd w:id="19"/>
            <w:r>
              <w:rPr>
                <w:sz w:val="20"/>
              </w:rPr>
              <w:t>电线、电缆的销售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2021年03月22日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2021年03月22日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01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687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34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687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46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8：30-10：30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9.1.3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10:30-12:00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5.3组织的角色、职责和权限；6.2质量目标及其实现的策划；7.1.2人员；7.2能力；7.3意识；7.4沟通；7.5文件化信息；9.1.3分析和评价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25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12:00-13:00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0-16：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业务部: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运作环境；7.1.5监视和测量资源;7.1.6组织知识；8.1运行策划和控制；8.2产品和服务的要求；8.3设计开发控制；8.4外部提供过程、产品和服务的控制；8.5.1生产和服务提供的控制；8.5.2标识和可追溯性；8.5.3顾客或外部供方的财产；8.5.4防护；8.5.5交付后的活动；8.5.6更改控制;；8.6产品和服务放行；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53" w:hRule="atLeast"/>
          <w:jc w:val="center"/>
        </w:trPr>
        <w:tc>
          <w:tcPr>
            <w:tcW w:w="1146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7634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B0E6E"/>
    <w:rsid w:val="01B64796"/>
    <w:rsid w:val="02CC4407"/>
    <w:rsid w:val="2E467262"/>
    <w:rsid w:val="410227D7"/>
    <w:rsid w:val="43C16C09"/>
    <w:rsid w:val="76FC42F1"/>
    <w:rsid w:val="7CC01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2021-03-22T01:49:39Z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