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21"/>
          <w:szCs w:val="21"/>
          <w:u w:val="single"/>
        </w:rPr>
        <w:t xml:space="preserve"> </w:t>
      </w:r>
      <w:bookmarkStart w:id="0" w:name="合同编号"/>
      <w:r>
        <w:rPr>
          <w:rFonts w:hint="eastAsia"/>
          <w:sz w:val="21"/>
          <w:szCs w:val="21"/>
          <w:u w:val="single"/>
        </w:rPr>
        <w:t>0159-2021-QEOEnMS</w:t>
      </w:r>
      <w:bookmarkEnd w:id="0"/>
      <w:r>
        <w:rPr>
          <w:rFonts w:hint="eastAsia"/>
          <w:sz w:val="21"/>
          <w:szCs w:val="21"/>
          <w:u w:val="single"/>
        </w:rPr>
        <w:t xml:space="preserve"> </w:t>
      </w:r>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ascii="楷体" w:hAnsi="楷体" w:eastAsia="楷体"/>
          <w:b/>
          <w:color w:val="000000"/>
          <w:sz w:val="32"/>
          <w:szCs w:val="32"/>
          <w:u w:val="single"/>
        </w:rPr>
        <w:t>青海湘和有色金属有限责任公司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r>
        <w:rPr>
          <w:rFonts w:hint="eastAsia"/>
          <w:sz w:val="28"/>
          <w:szCs w:val="28"/>
          <w:highlight w:val="yellow"/>
          <w:lang w:eastAsia="zh-CN"/>
        </w:rPr>
        <w:t>☑</w:t>
      </w:r>
      <w:r>
        <w:rPr>
          <w:rFonts w:hint="eastAsia"/>
          <w:sz w:val="28"/>
          <w:szCs w:val="28"/>
          <w:highlight w:val="yellow"/>
        </w:rPr>
        <w:t>能源管理体系（</w:t>
      </w:r>
      <w:r>
        <w:rPr>
          <w:sz w:val="28"/>
          <w:szCs w:val="28"/>
          <w:highlight w:val="yellow"/>
        </w:rPr>
        <w:t>E</w:t>
      </w:r>
      <w:r>
        <w:rPr>
          <w:rFonts w:hint="eastAsia"/>
          <w:sz w:val="28"/>
          <w:szCs w:val="28"/>
          <w:highlight w:val="yellow"/>
        </w:rPr>
        <w:t>n</w:t>
      </w:r>
      <w:r>
        <w:rPr>
          <w:sz w:val="28"/>
          <w:szCs w:val="28"/>
          <w:highlight w:val="yellow"/>
        </w:rPr>
        <w:t>MS</w:t>
      </w:r>
      <w:r>
        <w:rPr>
          <w:rFonts w:hint="eastAsia"/>
          <w:sz w:val="28"/>
          <w:szCs w:val="28"/>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r>
              <w:rPr>
                <w:rFonts w:hint="eastAsia"/>
                <w:lang w:val="en-US" w:eastAsia="zh-CN"/>
              </w:rPr>
              <w:t>青海湘和有色金属有限责任公司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西宁经济技术开发区甘河工业园区</w:t>
            </w:r>
          </w:p>
        </w:tc>
        <w:tc>
          <w:tcPr>
            <w:tcW w:w="1242" w:type="dxa"/>
            <w:vMerge w:val="restart"/>
            <w:vAlign w:val="center"/>
          </w:tcPr>
          <w:p>
            <w:r>
              <w:rPr>
                <w:rFonts w:hint="eastAsia"/>
              </w:rPr>
              <w:t>邮编</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西宁经济技术开发区甘河工业园区</w:t>
            </w:r>
          </w:p>
        </w:tc>
        <w:tc>
          <w:tcPr>
            <w:tcW w:w="1242" w:type="dxa"/>
            <w:vMerge w:val="continue"/>
            <w:vAlign w:val="center"/>
          </w:tcP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r>
              <w:rPr>
                <w:rFonts w:hint="eastAsia"/>
                <w:lang w:val="en-US" w:eastAsia="zh-CN"/>
              </w:rPr>
              <w:t>罗贞</w:t>
            </w:r>
          </w:p>
        </w:tc>
        <w:tc>
          <w:tcPr>
            <w:tcW w:w="1313" w:type="dxa"/>
            <w:vAlign w:val="center"/>
          </w:tcPr>
          <w:p>
            <w:r>
              <w:rPr>
                <w:rFonts w:hint="eastAsia"/>
              </w:rPr>
              <w:t>电话.</w:t>
            </w:r>
          </w:p>
        </w:tc>
        <w:tc>
          <w:tcPr>
            <w:tcW w:w="2180" w:type="dxa"/>
            <w:vAlign w:val="center"/>
          </w:tcPr>
          <w:p>
            <w:pPr>
              <w:rPr>
                <w:rFonts w:hint="eastAsia" w:eastAsia="宋体"/>
                <w:lang w:eastAsia="zh-CN"/>
              </w:rPr>
            </w:pPr>
            <w:r>
              <w:rPr>
                <w:rFonts w:hint="eastAsia"/>
                <w:lang w:eastAsia="zh-CN"/>
              </w:rPr>
              <w:t>13897445091</w:t>
            </w:r>
          </w:p>
        </w:tc>
        <w:tc>
          <w:tcPr>
            <w:tcW w:w="1242" w:type="dxa"/>
            <w:vAlign w:val="center"/>
          </w:tcPr>
          <w:p>
            <w:r>
              <w:rPr>
                <w:rFonts w:hint="eastAsia"/>
              </w:rPr>
              <w:t>传真</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r>
              <w:rPr>
                <w:rFonts w:hint="eastAsia"/>
                <w:lang w:val="en-US" w:eastAsia="zh-CN"/>
              </w:rPr>
              <w:t>张春发</w:t>
            </w:r>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廖圆圆</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□双班 </w:t>
            </w:r>
            <w:r>
              <w:rPr>
                <w:rFonts w:hint="eastAsia"/>
                <w:lang w:eastAsia="zh-CN"/>
              </w:rPr>
              <w:t>☑</w:t>
            </w:r>
            <w:r>
              <w:rPr>
                <w:rFonts w:hint="eastAsia"/>
              </w:rPr>
              <w:t>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69" w:type="dxa"/>
            <w:shd w:val="clear" w:color="auto" w:fill="auto"/>
          </w:tcPr>
          <w:p>
            <w:r>
              <w:rPr>
                <w:rFonts w:hint="eastAsia"/>
              </w:rPr>
              <w:t>生产/服务提供流程简</w:t>
            </w:r>
          </w:p>
        </w:tc>
        <w:tc>
          <w:tcPr>
            <w:tcW w:w="8058" w:type="dxa"/>
            <w:gridSpan w:val="5"/>
            <w:shd w:val="clear" w:color="auto" w:fill="auto"/>
          </w:tcPr>
          <w:p>
            <w:r>
              <w:drawing>
                <wp:anchor distT="0" distB="0" distL="114300" distR="114300" simplePos="0" relativeHeight="251662336" behindDoc="0" locked="0" layoutInCell="1" allowOverlap="1">
                  <wp:simplePos x="0" y="0"/>
                  <wp:positionH relativeFrom="column">
                    <wp:posOffset>81915</wp:posOffset>
                  </wp:positionH>
                  <wp:positionV relativeFrom="paragraph">
                    <wp:posOffset>137160</wp:posOffset>
                  </wp:positionV>
                  <wp:extent cx="4838700" cy="1660525"/>
                  <wp:effectExtent l="0" t="0" r="0" b="317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4838700" cy="1660525"/>
                          </a:xfrm>
                          <a:prstGeom prst="rect">
                            <a:avLst/>
                          </a:prstGeom>
                          <a:noFill/>
                          <a:ln>
                            <a:noFill/>
                          </a:ln>
                        </pic:spPr>
                      </pic:pic>
                    </a:graphicData>
                  </a:graphic>
                </wp:anchor>
              </w:drawing>
            </w:r>
          </w:p>
        </w:tc>
      </w:tr>
    </w:tbl>
    <w:p/>
    <w:p>
      <w:r>
        <w:rPr>
          <w:rFonts w:hint="eastAsia"/>
        </w:rPr>
        <w:t>二、本次审核信息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2" w:name="auDate"/>
            <w:bookmarkEnd w:id="2"/>
            <w:r>
              <w:rPr>
                <w:rFonts w:hint="eastAsia"/>
              </w:rPr>
              <w:t xml:space="preserve"> </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w:t>
            </w:r>
            <w:r>
              <w:rPr>
                <w:rFonts w:hint="eastAsia"/>
                <w:lang w:val="en-US" w:eastAsia="zh-CN"/>
              </w:rPr>
              <w:t>上午</w:t>
            </w:r>
            <w:r>
              <w:rPr>
                <w:rFonts w:hint="eastAsia"/>
              </w:rPr>
              <w:t>：至</w:t>
            </w:r>
            <w:r>
              <w:rPr>
                <w:rFonts w:hint="eastAsia"/>
                <w:lang w:val="en-US" w:eastAsia="zh-CN"/>
              </w:rPr>
              <w:t>2021</w:t>
            </w:r>
            <w:r>
              <w:rPr>
                <w:rFonts w:hint="eastAsia"/>
              </w:rPr>
              <w:t>年</w:t>
            </w:r>
            <w:r>
              <w:rPr>
                <w:rFonts w:hint="eastAsia"/>
                <w:lang w:val="en-US" w:eastAsia="zh-CN"/>
              </w:rPr>
              <w:t>3</w:t>
            </w:r>
            <w:r>
              <w:rPr>
                <w:rFonts w:hint="eastAsia"/>
              </w:rPr>
              <w:t xml:space="preserve"> 月</w:t>
            </w:r>
            <w:r>
              <w:rPr>
                <w:rFonts w:hint="eastAsia"/>
                <w:lang w:val="en-US" w:eastAsia="zh-CN"/>
              </w:rPr>
              <w:t>24</w:t>
            </w:r>
            <w:r>
              <w:rPr>
                <w:rFonts w:hint="eastAsia"/>
              </w:rPr>
              <w:t xml:space="preserve">日 </w:t>
            </w:r>
            <w:r>
              <w:rPr>
                <w:rFonts w:hint="eastAsia"/>
                <w:lang w:val="en-US" w:eastAsia="zh-CN"/>
              </w:rPr>
              <w:t>下午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010"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 xml:space="preserve">□GB/T28001-2011  </w:t>
            </w:r>
            <w:r>
              <w:rPr>
                <w:rFonts w:hint="eastAsia"/>
                <w:lang w:val="de-DE" w:eastAsia="zh-CN"/>
              </w:rPr>
              <w:t>□</w:t>
            </w:r>
            <w:r>
              <w:rPr>
                <w:rFonts w:hint="eastAsia"/>
                <w:lang w:val="de-DE"/>
              </w:rPr>
              <w:t>ISO45001：2018标准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ind w:left="0" w:right="0" w:firstLine="0"/>
              <w:jc w:val="left"/>
              <w:rPr>
                <w:rFonts w:hint="eastAsia" w:ascii="Times New Roman" w:hAnsi="Times New Roman" w:eastAsia="宋体" w:cs="Times New Roman"/>
                <w:b w:val="0"/>
                <w:bCs w:val="0"/>
                <w:kern w:val="2"/>
                <w:sz w:val="21"/>
                <w:szCs w:val="24"/>
                <w:lang w:val="de-DE" w:eastAsia="zh-CN" w:bidi="ar-SA"/>
              </w:rPr>
            </w:pPr>
            <w:r>
              <w:rPr>
                <w:rFonts w:hint="eastAsia" w:ascii="Times New Roman" w:hAnsi="Times New Roman" w:eastAsia="宋体" w:cs="Times New Roman"/>
                <w:b w:val="0"/>
                <w:bCs w:val="0"/>
                <w:kern w:val="2"/>
                <w:sz w:val="21"/>
                <w:szCs w:val="24"/>
                <w:lang w:val="de-DE" w:eastAsia="zh-CN" w:bidi="ar-SA"/>
              </w:rPr>
              <w:t>☑ISO50001：2018标准  ☑</w:t>
            </w:r>
            <w:r>
              <w:rPr>
                <w:rFonts w:hint="default" w:ascii="Times New Roman" w:hAnsi="Times New Roman" w:eastAsia="宋体" w:cs="Times New Roman"/>
                <w:b w:val="0"/>
                <w:bCs w:val="0"/>
                <w:kern w:val="2"/>
                <w:sz w:val="21"/>
                <w:szCs w:val="24"/>
                <w:lang w:val="de-DE" w:eastAsia="zh-CN" w:bidi="ar-SA"/>
              </w:rPr>
              <w:fldChar w:fldCharType="begin"/>
            </w:r>
            <w:r>
              <w:rPr>
                <w:rFonts w:hint="default" w:ascii="Times New Roman" w:hAnsi="Times New Roman" w:eastAsia="宋体" w:cs="Times New Roman"/>
                <w:b w:val="0"/>
                <w:bCs w:val="0"/>
                <w:kern w:val="2"/>
                <w:sz w:val="21"/>
                <w:szCs w:val="24"/>
                <w:lang w:val="de-DE" w:eastAsia="zh-CN" w:bidi="ar-SA"/>
              </w:rPr>
              <w:instrText xml:space="preserve"> HYPERLINK "https://www.so.com/link?m=bu0j99XjLwzH9h/F/S32K/CJovwUoyG4H+nzcqw6zMGFNftuyqFn462uTPxYb6cHAX+0Ibb9l28v0nLfX655p9rhPHI5jJVzbO6mNJmBOVWOBG03gf3LpymWwhoBcCPZjiAQG/UZQiqjNhrXu7dj6omgn64gOETgKe0MU66dGZSLi35+MVlnyuosJMnPCQF+ECDz0R0ndlxrPo7f+EgCJadmOMSor918H/1mGm2sa4nXY5Jv/jPT+JP3ufYSC8Ymmf8REL6Oy/hQMaDDxvfHgQT3ANqQcMttXpgCahaVv8pk=" \t "https://www.so.com/_blank" </w:instrText>
            </w:r>
            <w:r>
              <w:rPr>
                <w:rFonts w:hint="default" w:ascii="Times New Roman" w:hAnsi="Times New Roman" w:eastAsia="宋体" w:cs="Times New Roman"/>
                <w:b w:val="0"/>
                <w:bCs w:val="0"/>
                <w:kern w:val="2"/>
                <w:sz w:val="21"/>
                <w:szCs w:val="24"/>
                <w:lang w:val="de-DE" w:eastAsia="zh-CN" w:bidi="ar-SA"/>
              </w:rPr>
              <w:fldChar w:fldCharType="separate"/>
            </w:r>
            <w:r>
              <w:rPr>
                <w:rFonts w:hint="default" w:ascii="Times New Roman" w:hAnsi="Times New Roman" w:eastAsia="宋体" w:cs="Times New Roman"/>
                <w:b w:val="0"/>
                <w:bCs w:val="0"/>
                <w:kern w:val="2"/>
                <w:sz w:val="21"/>
                <w:szCs w:val="24"/>
                <w:lang w:val="de-DE" w:eastAsia="zh-CN" w:bidi="ar-SA"/>
              </w:rPr>
              <w:t>RB/T 117-2014</w:t>
            </w:r>
            <w:r>
              <w:rPr>
                <w:rFonts w:hint="default" w:ascii="Times New Roman" w:hAnsi="Times New Roman" w:eastAsia="宋体" w:cs="Times New Roman"/>
                <w:b w:val="0"/>
                <w:bCs w:val="0"/>
                <w:kern w:val="2"/>
                <w:sz w:val="21"/>
                <w:szCs w:val="24"/>
                <w:lang w:val="de-DE" w:eastAsia="zh-CN" w:bidi="ar-SA"/>
              </w:rPr>
              <w:fldChar w:fldCharType="end"/>
            </w:r>
            <w:r>
              <w:rPr>
                <w:rFonts w:hint="eastAsia" w:ascii="Times New Roman" w:hAnsi="Times New Roman" w:eastAsia="宋体" w:cs="Times New Roman"/>
                <w:b w:val="0"/>
                <w:bCs w:val="0"/>
                <w:kern w:val="2"/>
                <w:sz w:val="21"/>
                <w:szCs w:val="24"/>
                <w:lang w:val="en-US" w:eastAsia="zh-CN" w:bidi="ar-SA"/>
              </w:rPr>
              <w:t xml:space="preserve">  </w:t>
            </w:r>
            <w:r>
              <w:rPr>
                <w:rFonts w:hint="eastAsia" w:ascii="Times New Roman" w:hAnsi="Times New Roman" w:eastAsia="宋体" w:cs="Times New Roman"/>
                <w:b w:val="0"/>
                <w:bCs w:val="0"/>
                <w:kern w:val="2"/>
                <w:sz w:val="21"/>
                <w:szCs w:val="24"/>
                <w:lang w:val="de-DE" w:eastAsia="zh-CN" w:bidi="ar-SA"/>
              </w:rPr>
              <w:t>行业认证标准</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yellow"/>
              </w:rPr>
              <w:t>EnMS</w:t>
            </w:r>
          </w:p>
        </w:tc>
        <w:tc>
          <w:tcPr>
            <w:tcW w:w="4616" w:type="dxa"/>
            <w:gridSpan w:val="2"/>
            <w:vAlign w:val="center"/>
          </w:tcPr>
          <w:p>
            <w:pPr>
              <w:rPr>
                <w:rFonts w:hint="default" w:eastAsia="宋体"/>
                <w:lang w:val="en-US" w:eastAsia="zh-CN"/>
              </w:rPr>
            </w:pPr>
            <w:r>
              <w:rPr>
                <w:rFonts w:hint="eastAsia" w:ascii="宋体" w:hAnsi="宋体"/>
                <w:szCs w:val="21"/>
                <w:lang w:val="en-US" w:eastAsia="zh-CN"/>
              </w:rPr>
              <w:t>锌粉、硫酸、次氧化锌</w:t>
            </w:r>
            <w:r>
              <w:rPr>
                <w:rFonts w:hint="eastAsia" w:ascii="宋体" w:hAnsi="宋体"/>
                <w:szCs w:val="21"/>
              </w:rPr>
              <w:t>生产所涉及的能源管理活动。</w:t>
            </w:r>
          </w:p>
        </w:tc>
        <w:tc>
          <w:tcPr>
            <w:tcW w:w="3268" w:type="dxa"/>
            <w:gridSpan w:val="2"/>
            <w:vAlign w:val="center"/>
          </w:tcPr>
          <w:p>
            <w:pPr>
              <w:rPr>
                <w:rFonts w:hint="default" w:eastAsia="宋体"/>
                <w:lang w:val="en-US" w:eastAsia="zh-CN"/>
              </w:rPr>
            </w:pPr>
            <w:r>
              <w:rPr>
                <w:rFonts w:hint="eastAsia"/>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年</w:t>
            </w:r>
            <w:r>
              <w:rPr>
                <w:rFonts w:hint="eastAsia"/>
                <w:lang w:val="en-US" w:eastAsia="zh-CN"/>
              </w:rPr>
              <w:t>6</w:t>
            </w:r>
            <w:r>
              <w:rPr>
                <w:rFonts w:hint="eastAsia"/>
              </w:rPr>
              <w:t xml:space="preserve">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p>
            <w:r>
              <w:rPr>
                <w:rFonts w:hint="eastAsia"/>
                <w:highlight w:val="yellow"/>
              </w:rPr>
              <w:t>能源管理体系运行已超过6个月</w:t>
            </w:r>
          </w:p>
        </w:tc>
        <w:tc>
          <w:tcPr>
            <w:tcW w:w="3268" w:type="dxa"/>
            <w:gridSpan w:val="2"/>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宋体"/>
                <w:b/>
                <w:color w:val="000000"/>
                <w:sz w:val="20"/>
                <w:szCs w:val="20"/>
              </w:rPr>
            </w:pPr>
            <w:bookmarkStart w:id="3" w:name="组织名称Add2"/>
            <w:r>
              <w:rPr>
                <w:rFonts w:ascii="宋体"/>
                <w:b/>
                <w:color w:val="000000"/>
                <w:sz w:val="20"/>
                <w:szCs w:val="20"/>
              </w:rPr>
              <w:t>青海湘和有色金属有限责任公司</w:t>
            </w:r>
            <w:bookmarkEnd w:id="3"/>
          </w:p>
          <w:p>
            <w:pPr>
              <w:rPr>
                <w:rFonts w:hint="eastAsia" w:eastAsia="宋体"/>
                <w:lang w:val="en-US" w:eastAsia="zh-CN"/>
              </w:rPr>
            </w:pPr>
            <w:r>
              <w:rPr>
                <w:rFonts w:hint="eastAsia"/>
                <w:lang w:eastAsia="zh-CN"/>
              </w:rPr>
              <w:t>西宁经济技术开发区甘河工业园区</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33</w:t>
            </w:r>
          </w:p>
        </w:tc>
        <w:tc>
          <w:tcPr>
            <w:tcW w:w="2803" w:type="dxa"/>
            <w:vAlign w:val="center"/>
          </w:tcPr>
          <w:p>
            <w:pPr>
              <w:rPr>
                <w:lang w:eastAsia="ja-JP"/>
              </w:rPr>
            </w:pPr>
            <w:bookmarkStart w:id="4" w:name="审核范围"/>
            <w:r>
              <w:rPr>
                <w:rFonts w:hint="eastAsia" w:ascii="宋体" w:hAnsi="宋体" w:eastAsia="宋体"/>
                <w:szCs w:val="21"/>
              </w:rPr>
              <w:t>锌粉、硫酸、次氧化锌的生产</w:t>
            </w:r>
            <w:r>
              <w:rPr>
                <w:rFonts w:hint="eastAsia" w:ascii="宋体" w:hAnsi="宋体"/>
                <w:szCs w:val="21"/>
              </w:rPr>
              <w:t>所涉及的能源管理活动。</w:t>
            </w:r>
            <w:bookmarkEnd w:id="4"/>
          </w:p>
        </w:tc>
        <w:tc>
          <w:tcPr>
            <w:tcW w:w="669" w:type="dxa"/>
            <w:vAlign w:val="center"/>
          </w:tcPr>
          <w:p>
            <w:pPr>
              <w:rPr>
                <w:lang w:eastAsia="ja-JP"/>
              </w:rPr>
            </w:pPr>
          </w:p>
        </w:tc>
        <w:sdt>
          <w:sdtPr>
            <w:id w:val="271604670"/>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pPr>
              <w:ind w:firstLine="840" w:firstLineChars="400"/>
            </w:pPr>
            <w:r>
              <w:rPr>
                <w:rFonts w:hint="eastAsia"/>
              </w:rPr>
              <w:t>审核员注册证书号</w:t>
            </w:r>
          </w:p>
        </w:tc>
        <w:tc>
          <w:tcPr>
            <w:tcW w:w="2179" w:type="dxa"/>
            <w:vAlign w:val="center"/>
          </w:tcPr>
          <w:p>
            <w:pPr>
              <w:ind w:firstLine="420" w:firstLineChars="200"/>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周涛</w:t>
            </w:r>
          </w:p>
        </w:tc>
        <w:tc>
          <w:tcPr>
            <w:tcW w:w="1089" w:type="dxa"/>
            <w:vAlign w:val="center"/>
          </w:tcPr>
          <w:p>
            <w:r>
              <w:rPr>
                <w:rFonts w:hint="eastAsia"/>
              </w:rPr>
              <w:t>组长</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2018-N1EnMS-1072033</w:t>
            </w:r>
          </w:p>
        </w:tc>
        <w:tc>
          <w:tcPr>
            <w:tcW w:w="2179" w:type="dxa"/>
            <w:vAlign w:val="center"/>
          </w:tcPr>
          <w:p>
            <w:pPr>
              <w:rPr>
                <w:rFonts w:hint="default" w:eastAsia="宋体"/>
                <w:lang w:val="en-US" w:eastAsia="zh-CN"/>
              </w:rPr>
            </w:pPr>
            <w:bookmarkStart w:id="5" w:name="专业代码"/>
            <w:r>
              <w:rPr>
                <w:rFonts w:ascii="宋体"/>
                <w:b/>
                <w:color w:val="000000"/>
                <w:sz w:val="20"/>
                <w:szCs w:val="20"/>
              </w:rPr>
              <w:t>EnMS：2.3</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姜小清</w:t>
            </w:r>
          </w:p>
        </w:tc>
        <w:tc>
          <w:tcPr>
            <w:tcW w:w="1089" w:type="dxa"/>
            <w:vAlign w:val="center"/>
          </w:tcPr>
          <w:p>
            <w:r>
              <w:rPr>
                <w:rFonts w:hint="eastAsia"/>
              </w:rPr>
              <w:t>审核员1</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2018-N1EnMS-1201919</w:t>
            </w:r>
          </w:p>
        </w:tc>
        <w:tc>
          <w:tcPr>
            <w:tcW w:w="2179" w:type="dxa"/>
            <w:vAlign w:val="center"/>
          </w:tcPr>
          <w:p/>
        </w:tc>
      </w:tr>
    </w:tbl>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highlight w:val="yellow"/>
          <w:lang w:eastAsia="zh-CN"/>
        </w:rPr>
        <w:t>☑</w:t>
      </w:r>
      <w:r>
        <w:rPr>
          <w:rFonts w:hint="eastAsia"/>
          <w:highlight w:val="yellow"/>
        </w:rPr>
        <w:t>EnMS</w:t>
      </w:r>
      <w:r>
        <w:rPr>
          <w:rFonts w:hint="eastAsia"/>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ind w:firstLine="630" w:firstLineChars="300"/>
              <w:rPr>
                <w:rFonts w:hint="eastAsia" w:eastAsia="宋体"/>
                <w:lang w:val="en-US" w:eastAsia="zh-CN"/>
              </w:rPr>
            </w:pPr>
            <w:r>
              <w:rPr>
                <w:rFonts w:hint="eastAsia"/>
                <w:lang w:val="en-US" w:eastAsia="zh-CN"/>
              </w:rPr>
              <w:t>1</w:t>
            </w:r>
          </w:p>
        </w:tc>
        <w:tc>
          <w:tcPr>
            <w:tcW w:w="1717" w:type="dxa"/>
          </w:tcPr>
          <w:p/>
        </w:tc>
        <w:tc>
          <w:tcPr>
            <w:tcW w:w="1560" w:type="dxa"/>
          </w:tcPr>
          <w:p>
            <w:pPr>
              <w:ind w:firstLine="630" w:firstLineChars="300"/>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60288" behindDoc="0" locked="0" layoutInCell="1" allowOverlap="1">
                  <wp:simplePos x="0" y="0"/>
                  <wp:positionH relativeFrom="column">
                    <wp:posOffset>442595</wp:posOffset>
                  </wp:positionH>
                  <wp:positionV relativeFrom="page">
                    <wp:posOffset>20320</wp:posOffset>
                  </wp:positionV>
                  <wp:extent cx="480695" cy="427990"/>
                  <wp:effectExtent l="0" t="0" r="1905" b="3810"/>
                  <wp:wrapSquare wrapText="bothSides"/>
                  <wp:docPr id="4"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53999692(1)"/>
                          <pic:cNvPicPr>
                            <a:picLocks noChangeAspect="1"/>
                          </pic:cNvPicPr>
                        </pic:nvPicPr>
                        <pic:blipFill>
                          <a:blip r:embed="rId7">
                            <a:lum bright="35999"/>
                          </a:blip>
                          <a:stretch>
                            <a:fillRect/>
                          </a:stretch>
                        </pic:blipFill>
                        <pic:spPr>
                          <a:xfrm>
                            <a:off x="0" y="0"/>
                            <a:ext cx="480695" cy="427990"/>
                          </a:xfrm>
                          <a:prstGeom prst="rect">
                            <a:avLst/>
                          </a:prstGeom>
                          <a:noFill/>
                          <a:ln>
                            <a:noFill/>
                          </a:ln>
                        </pic:spPr>
                      </pic:pic>
                    </a:graphicData>
                  </a:graphic>
                </wp:anchor>
              </w:drawing>
            </w:r>
          </w:p>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r>
              <w:rPr>
                <w:rFonts w:hint="eastAsia"/>
                <w:lang w:val="en-US" w:eastAsia="zh-CN"/>
              </w:rPr>
              <w:t>2021.3.24</w:t>
            </w:r>
          </w:p>
        </w:tc>
        <w:tc>
          <w:tcPr>
            <w:tcW w:w="2836" w:type="dxa"/>
            <w:shd w:val="clear" w:color="auto" w:fill="auto"/>
          </w:tc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p>
      <w:r>
        <w:rPr>
          <w:rFonts w:hint="eastAsia" w:ascii="宋体" w:hAnsi="宋体"/>
        </w:rPr>
        <w:drawing>
          <wp:anchor distT="0" distB="0" distL="114300" distR="114300" simplePos="0" relativeHeight="251659264" behindDoc="0" locked="0" layoutInCell="1" allowOverlap="1">
            <wp:simplePos x="0" y="0"/>
            <wp:positionH relativeFrom="column">
              <wp:posOffset>6358890</wp:posOffset>
            </wp:positionH>
            <wp:positionV relativeFrom="page">
              <wp:posOffset>636270</wp:posOffset>
            </wp:positionV>
            <wp:extent cx="480695" cy="427990"/>
            <wp:effectExtent l="0" t="0" r="1905" b="3810"/>
            <wp:wrapSquare wrapText="bothSides"/>
            <wp:docPr id="3" name="图片 2"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53999692(1)"/>
                    <pic:cNvPicPr>
                      <a:picLocks noChangeAspect="1"/>
                    </pic:cNvPicPr>
                  </pic:nvPicPr>
                  <pic:blipFill>
                    <a:blip r:embed="rId7">
                      <a:lum bright="35999"/>
                    </a:blip>
                    <a:stretch>
                      <a:fillRect/>
                    </a:stretch>
                  </pic:blipFill>
                  <pic:spPr>
                    <a:xfrm>
                      <a:off x="0" y="0"/>
                      <a:ext cx="480695" cy="427990"/>
                    </a:xfrm>
                    <a:prstGeom prst="rect">
                      <a:avLst/>
                    </a:prstGeom>
                    <a:noFill/>
                    <a:ln>
                      <a:noFill/>
                    </a:ln>
                  </pic:spPr>
                </pic:pic>
              </a:graphicData>
            </a:graphic>
          </wp:anchor>
        </w:drawing>
      </w:r>
    </w:p>
    <w:p>
      <w:r>
        <w:rPr>
          <w:rFonts w:hint="eastAsia"/>
        </w:rPr>
        <w:t>十四、认证评定与批准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yellow"/>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Pr>
        <w:shd w:val="clear" w:color="auto" w:fill="EBF1DE" w:themeFill="accent3" w:themeFillTint="32"/>
        <w:rPr>
          <w:rFonts w:eastAsia="微软雅黑"/>
        </w:rPr>
      </w:pPr>
      <w:r>
        <w:br w:type="page"/>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 xml:space="preserve">EnMS体系建立以来   </w:t>
            </w:r>
            <w:r>
              <w:rPr>
                <w:rFonts w:hint="eastAsia"/>
                <w:highlight w:val="yellow"/>
                <w:lang w:eastAsia="zh-CN"/>
              </w:rPr>
              <w:t>☑</w:t>
            </w:r>
            <w:r>
              <w:rPr>
                <w:rFonts w:hint="eastAsia"/>
                <w:highlight w:val="yellow"/>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w:t>
                  </w:r>
                  <w:r>
                    <w:rPr>
                      <w:rFonts w:hint="eastAsia"/>
                      <w:highlight w:val="yellow"/>
                      <w:lang w:eastAsia="zh-CN"/>
                    </w:rPr>
                    <w:t>☑</w:t>
                  </w:r>
                  <w:r>
                    <w:rPr>
                      <w:rFonts w:hint="eastAsia"/>
                      <w:highlight w:val="yellow"/>
                    </w:rPr>
                    <w:t xml:space="preserve">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□文化 □社会 □经济环境 </w:t>
                  </w:r>
                </w:p>
                <w:p>
                  <w:pPr>
                    <w:shd w:val="clear" w:color="auto" w:fill="EBF1DE" w:themeFill="accent3" w:themeFillTint="32"/>
                    <w:rPr>
                      <w:highlight w:val="yellow"/>
                    </w:rPr>
                  </w:pPr>
                  <w:r>
                    <w:rPr>
                      <w:rFonts w:hint="eastAsia"/>
                      <w:highlight w:val="yellow"/>
                    </w:rPr>
                    <w:t xml:space="preserve">□政治 </w:t>
                  </w:r>
                  <w:r>
                    <w:rPr>
                      <w:rFonts w:hint="eastAsia"/>
                      <w:highlight w:val="yellow"/>
                      <w:lang w:eastAsia="zh-CN"/>
                    </w:rPr>
                    <w:t>☑</w:t>
                  </w:r>
                  <w:r>
                    <w:rPr>
                      <w:rFonts w:hint="eastAsia"/>
                      <w:highlight w:val="yellow"/>
                    </w:rPr>
                    <w:t xml:space="preserve">监管  □财务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w:t>
                  </w:r>
                  <w:r>
                    <w:rPr>
                      <w:rFonts w:hint="eastAsia"/>
                      <w:highlight w:val="yellow"/>
                      <w:lang w:eastAsia="zh-CN"/>
                    </w:rPr>
                    <w:t>☑</w:t>
                  </w:r>
                  <w:r>
                    <w:rPr>
                      <w:rFonts w:hint="eastAsia"/>
                      <w:highlight w:val="yellow"/>
                    </w:rPr>
                    <w:t xml:space="preserve">工艺 </w:t>
                  </w:r>
                  <w:r>
                    <w:rPr>
                      <w:rFonts w:hint="eastAsia"/>
                      <w:highlight w:val="yellow"/>
                      <w:lang w:eastAsia="zh-CN"/>
                    </w:rPr>
                    <w:t>☑</w:t>
                  </w:r>
                  <w:r>
                    <w:rPr>
                      <w:rFonts w:hint="eastAsia"/>
                      <w:highlight w:val="yellow"/>
                    </w:rPr>
                    <w:t xml:space="preserve">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 xml:space="preserve">人力资源□营销和市场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□满足限额要求 </w:t>
            </w:r>
            <w:r>
              <w:rPr>
                <w:rFonts w:hint="eastAsia"/>
                <w:highlight w:val="yellow"/>
                <w:lang w:eastAsia="zh-CN"/>
              </w:rPr>
              <w:t>☑</w:t>
            </w:r>
            <w:r>
              <w:rPr>
                <w:rFonts w:hint="eastAsia"/>
                <w:highlight w:val="yellow"/>
              </w:rPr>
              <w:t xml:space="preserve">主要用能设备管理  </w:t>
            </w:r>
            <w:r>
              <w:rPr>
                <w:rFonts w:hint="eastAsia"/>
                <w:highlight w:val="cyan"/>
                <w:lang w:eastAsia="zh-CN"/>
              </w:rPr>
              <w:t>☑</w:t>
            </w:r>
            <w:r>
              <w:rPr>
                <w:rFonts w:hint="eastAsia"/>
                <w:highlight w:val="cyan"/>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 xml:space="preserve">□生产/服务过程 □能效监测 </w:t>
            </w:r>
            <w:r>
              <w:rPr>
                <w:rFonts w:hint="eastAsia"/>
                <w:highlight w:val="yellow"/>
                <w:lang w:eastAsia="zh-CN"/>
              </w:rPr>
              <w:t>□</w:t>
            </w:r>
            <w:r>
              <w:rPr>
                <w:rFonts w:hint="eastAsia"/>
                <w:highlight w:val="yellow"/>
              </w:rPr>
              <w:t>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widowControl/>
              <w:ind w:firstLine="480"/>
              <w:rPr>
                <w:rFonts w:hint="eastAsia" w:eastAsia="宋体"/>
                <w:highlight w:val="yellow"/>
                <w:u w:val="single"/>
                <w:lang w:eastAsia="zh-CN"/>
              </w:rPr>
            </w:pPr>
            <w:r>
              <w:rPr>
                <w:rFonts w:hint="eastAsia"/>
                <w:highlight w:val="yellow"/>
              </w:rPr>
              <w:t>最高管理者制定了文件化的管理体系方针：</w:t>
            </w:r>
            <w:r>
              <w:rPr>
                <w:rFonts w:hint="eastAsia"/>
                <w:u w:val="single"/>
              </w:rPr>
              <w:t>“</w:t>
            </w:r>
            <w:r>
              <w:rPr>
                <w:rFonts w:hint="eastAsia" w:eastAsia="宋体"/>
                <w:highlight w:val="yellow"/>
                <w:u w:val="single"/>
              </w:rPr>
              <w:t>节能减排、深挖能源潜能、全员参与，提高能源绩效”</w:t>
            </w:r>
            <w:r>
              <w:rPr>
                <w:rFonts w:hint="eastAsia" w:eastAsia="宋体"/>
                <w:highlight w:val="yellow"/>
                <w:u w:val="single"/>
                <w:lang w:eastAsia="zh-CN"/>
              </w:rPr>
              <w:t>。</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default"/>
                <w:highlight w:val="cyan"/>
                <w:lang w:val="en-US"/>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rPr>
              <w:t>□</w:t>
            </w:r>
          </w:p>
          <w:p>
            <w:pPr>
              <w:shd w:val="clear" w:color="auto" w:fill="EBF1DE" w:themeFill="accent3" w:themeFillTint="32"/>
              <w:rPr>
                <w:highlight w:val="yellow"/>
              </w:rPr>
            </w:pPr>
            <w:r>
              <w:rPr>
                <w:rFonts w:hint="eastAsia"/>
                <w:highlight w:val="cyan"/>
                <w:lang w:val="en-US" w:eastAsia="zh-CN"/>
              </w:rPr>
              <w:t>能源管理团队负责人（管理者代表）是：廖圆圆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认清国家形式，不做违法的事情；</w:t>
                  </w:r>
                </w:p>
              </w:tc>
              <w:tc>
                <w:tcPr>
                  <w:tcW w:w="1717" w:type="dxa"/>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内部：客户风险、项目自身风险、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yellow"/>
                    </w:rPr>
                  </w:pPr>
                  <w:r>
                    <w:rPr>
                      <w:rFonts w:hint="eastAsia"/>
                      <w:highlight w:val="yellow"/>
                      <w:lang w:val="en-US" w:eastAsia="zh-CN"/>
                    </w:rPr>
                    <w:t>有效</w:t>
                  </w:r>
                </w:p>
              </w:tc>
            </w:tr>
          </w:tbl>
          <w:p>
            <w:pPr>
              <w:shd w:val="clear" w:color="auto" w:fill="EBF1DE" w:themeFill="accent3" w:themeFillTint="32"/>
              <w:rPr>
                <w:highlight w:val="yellow"/>
              </w:rPr>
            </w:pP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蒸汽 </w:t>
            </w:r>
            <w:r>
              <w:rPr>
                <w:rFonts w:hint="eastAsia"/>
                <w:highlight w:val="yellow"/>
                <w:lang w:eastAsia="zh-CN"/>
              </w:rPr>
              <w:t>☑</w:t>
            </w:r>
            <w:r>
              <w:rPr>
                <w:rFonts w:hint="eastAsia"/>
                <w:highlight w:val="yellow"/>
              </w:rPr>
              <w:t xml:space="preserve">天然气 </w:t>
            </w:r>
            <w:r>
              <w:rPr>
                <w:rFonts w:hint="eastAsia"/>
                <w:highlight w:val="yellow"/>
                <w:lang w:eastAsia="zh-CN"/>
              </w:rPr>
              <w:t>☑</w:t>
            </w:r>
            <w:r>
              <w:rPr>
                <w:rFonts w:hint="eastAsia"/>
                <w:highlight w:val="yellow"/>
              </w:rPr>
              <w:t xml:space="preserve">燃料油  □燃料气 </w:t>
            </w:r>
            <w:r>
              <w:rPr>
                <w:rFonts w:hint="eastAsia"/>
                <w:highlight w:val="yellow"/>
                <w:lang w:eastAsia="zh-CN"/>
              </w:rPr>
              <w:t>☑</w:t>
            </w:r>
            <w:r>
              <w:rPr>
                <w:rFonts w:hint="eastAsia"/>
                <w:highlight w:val="yellow"/>
              </w:rPr>
              <w:t xml:space="preserve">电力  □氮气 □风  </w:t>
            </w:r>
            <w:r>
              <w:rPr>
                <w:rFonts w:hint="eastAsia"/>
                <w:highlight w:val="yellow"/>
                <w:lang w:eastAsia="zh-CN"/>
              </w:rPr>
              <w:t>☑</w:t>
            </w:r>
            <w:r>
              <w:rPr>
                <w:rFonts w:hint="eastAsia"/>
                <w:highlight w:val="yellow"/>
              </w:rPr>
              <w:t>新鲜水 □各种品质水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lang w:eastAsia="zh-CN"/>
              </w:rPr>
              <w:t>☑</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2021年1月</w:t>
            </w:r>
            <w:r>
              <w:rPr>
                <w:rFonts w:hint="eastAsia"/>
                <w:highlight w:val="yellow"/>
              </w:rPr>
              <w:t xml:space="preserve">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w:t>
            </w:r>
            <w:r>
              <w:rPr>
                <w:rFonts w:hint="eastAsia"/>
                <w:highlight w:val="yellow"/>
                <w:lang w:eastAsia="zh-CN"/>
              </w:rPr>
              <w:t>☑</w:t>
            </w:r>
            <w:r>
              <w:rPr>
                <w:rFonts w:hint="eastAsia"/>
                <w:highlight w:val="yellow"/>
              </w:rPr>
              <w:t xml:space="preserve">能源计量管理  □使用节能设备  □主要耗能设备识别及能效测试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420"/>
              <w:gridCol w:w="13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442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30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1527"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jc w:val="left"/>
                    <w:rPr>
                      <w:rFonts w:hint="eastAsia"/>
                      <w:highlight w:val="yellow"/>
                      <w:lang w:val="en-US" w:eastAsia="zh-CN"/>
                    </w:rPr>
                  </w:pPr>
                  <w:r>
                    <w:rPr>
                      <w:rFonts w:hint="eastAsia"/>
                      <w:highlight w:val="yellow"/>
                      <w:lang w:val="en-US" w:eastAsia="zh-CN"/>
                    </w:rPr>
                    <w:t>每年</w:t>
                  </w:r>
                </w:p>
                <w:p>
                  <w:pPr>
                    <w:shd w:val="clear" w:color="auto" w:fill="EBF1DE" w:themeFill="accent3" w:themeFillTint="32"/>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单位渣处理综合能耗≤0.45吨标准煤/t渣处理；</w:t>
                  </w:r>
                </w:p>
                <w:p>
                  <w:pPr>
                    <w:shd w:val="clear" w:color="auto" w:fill="EBF1DE" w:themeFill="accent3" w:themeFillTint="32"/>
                    <w:jc w:val="left"/>
                    <w:rPr>
                      <w:rFonts w:hint="eastAsia" w:ascii="Times New Roman" w:hAnsi="Times New Roman" w:eastAsia="宋体" w:cs="Times New Roman"/>
                      <w:color w:val="000000"/>
                      <w:kern w:val="2"/>
                      <w:sz w:val="21"/>
                      <w:szCs w:val="18"/>
                      <w:lang w:val="en-US" w:eastAsia="zh-CN" w:bidi="ar-SA"/>
                    </w:rPr>
                  </w:pPr>
                </w:p>
                <w:p>
                  <w:pPr>
                    <w:shd w:val="clear" w:color="auto" w:fill="EBF1DE" w:themeFill="accent3" w:themeFillTint="32"/>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单位产品锌粉综合能耗≤0.56吨标准煤/t锌粉。</w:t>
                  </w:r>
                </w:p>
              </w:tc>
              <w:tc>
                <w:tcPr>
                  <w:tcW w:w="4420" w:type="dxa"/>
                  <w:shd w:val="clear" w:color="auto" w:fill="auto"/>
                  <w:vAlign w:val="center"/>
                </w:tcPr>
                <w:p>
                  <w:pPr>
                    <w:numPr>
                      <w:ilvl w:val="0"/>
                      <w:numId w:val="2"/>
                    </w:numPr>
                    <w:shd w:val="clear" w:color="auto" w:fill="EBF1DE" w:themeFill="accent3" w:themeFillTint="32"/>
                    <w:rPr>
                      <w:rFonts w:hint="eastAsia" w:ascii="仿宋" w:hAnsi="仿宋" w:eastAsia="仿宋"/>
                      <w:sz w:val="21"/>
                      <w:szCs w:val="21"/>
                      <w:lang w:eastAsia="zh-CN"/>
                    </w:rPr>
                  </w:pPr>
                  <w:r>
                    <w:rPr>
                      <w:rFonts w:hint="eastAsia" w:ascii="仿宋" w:hAnsi="仿宋" w:eastAsia="仿宋"/>
                      <w:sz w:val="21"/>
                      <w:szCs w:val="21"/>
                    </w:rPr>
                    <w:t>烟化系统稳定运行，余热发电系统设备故障排查，完成后余热发电系统连续启动进行发电</w:t>
                  </w:r>
                  <w:r>
                    <w:rPr>
                      <w:rFonts w:hint="eastAsia" w:ascii="仿宋" w:hAnsi="仿宋" w:eastAsia="仿宋"/>
                      <w:sz w:val="21"/>
                      <w:szCs w:val="21"/>
                      <w:lang w:eastAsia="zh-CN"/>
                    </w:rPr>
                    <w:t>；</w:t>
                  </w:r>
                </w:p>
                <w:p>
                  <w:pPr>
                    <w:numPr>
                      <w:ilvl w:val="0"/>
                      <w:numId w:val="2"/>
                    </w:numPr>
                    <w:shd w:val="clear" w:color="auto" w:fill="EBF1DE" w:themeFill="accent3" w:themeFillTint="32"/>
                    <w:rPr>
                      <w:rFonts w:hint="eastAsia" w:ascii="仿宋" w:hAnsi="仿宋" w:eastAsia="仿宋"/>
                      <w:sz w:val="21"/>
                      <w:szCs w:val="21"/>
                      <w:lang w:val="en-US" w:eastAsia="zh-CN"/>
                    </w:rPr>
                  </w:pPr>
                  <w:r>
                    <w:rPr>
                      <w:rFonts w:hint="eastAsia" w:ascii="仿宋" w:hAnsi="仿宋" w:eastAsia="仿宋"/>
                      <w:sz w:val="21"/>
                      <w:szCs w:val="21"/>
                    </w:rPr>
                    <w:t>利用富氧空气将粉煤以喷吹方式添加，使燃煤燃烧更充分</w:t>
                  </w:r>
                  <w:r>
                    <w:rPr>
                      <w:rFonts w:hint="eastAsia" w:ascii="仿宋" w:hAnsi="仿宋" w:eastAsia="仿宋"/>
                      <w:sz w:val="21"/>
                      <w:szCs w:val="21"/>
                      <w:lang w:eastAsia="zh-CN"/>
                    </w:rPr>
                    <w:t>；</w:t>
                  </w:r>
                </w:p>
                <w:p>
                  <w:pPr>
                    <w:numPr>
                      <w:ilvl w:val="0"/>
                      <w:numId w:val="2"/>
                    </w:numPr>
                    <w:shd w:val="clear" w:color="auto" w:fill="EBF1DE" w:themeFill="accent3" w:themeFillTint="32"/>
                    <w:rPr>
                      <w:rFonts w:hint="eastAsia" w:ascii="仿宋" w:hAnsi="仿宋" w:eastAsia="仿宋"/>
                      <w:sz w:val="21"/>
                      <w:szCs w:val="21"/>
                      <w:lang w:val="en-US" w:eastAsia="zh-CN"/>
                    </w:rPr>
                  </w:pPr>
                  <w:r>
                    <w:rPr>
                      <w:rFonts w:hint="eastAsia" w:ascii="仿宋" w:hAnsi="仿宋" w:eastAsia="仿宋"/>
                      <w:sz w:val="21"/>
                      <w:szCs w:val="21"/>
                    </w:rPr>
                    <w:t>从源头控制，降低尾矿渣中含水量、含硫量</w:t>
                  </w:r>
                  <w:r>
                    <w:rPr>
                      <w:rFonts w:hint="eastAsia" w:ascii="仿宋" w:hAnsi="仿宋" w:eastAsia="仿宋"/>
                      <w:sz w:val="21"/>
                      <w:szCs w:val="21"/>
                      <w:lang w:eastAsia="zh-CN"/>
                    </w:rPr>
                    <w:t>；</w:t>
                  </w:r>
                </w:p>
                <w:p>
                  <w:pPr>
                    <w:numPr>
                      <w:ilvl w:val="0"/>
                      <w:numId w:val="2"/>
                    </w:numPr>
                    <w:shd w:val="clear" w:color="auto" w:fill="EBF1DE" w:themeFill="accent3" w:themeFillTint="32"/>
                    <w:rPr>
                      <w:rFonts w:hint="eastAsia" w:ascii="仿宋" w:hAnsi="仿宋" w:eastAsia="仿宋"/>
                      <w:sz w:val="24"/>
                      <w:szCs w:val="24"/>
                      <w:lang w:val="en-US" w:eastAsia="zh-CN"/>
                    </w:rPr>
                  </w:pPr>
                  <w:r>
                    <w:rPr>
                      <w:rFonts w:hint="eastAsia" w:ascii="仿宋" w:hAnsi="仿宋" w:eastAsia="仿宋"/>
                      <w:sz w:val="21"/>
                      <w:szCs w:val="21"/>
                    </w:rPr>
                    <w:t>加强节能意识宣传教育</w:t>
                  </w:r>
                  <w:r>
                    <w:rPr>
                      <w:rFonts w:hint="eastAsia" w:ascii="仿宋" w:hAnsi="仿宋" w:eastAsia="仿宋"/>
                      <w:sz w:val="21"/>
                      <w:szCs w:val="21"/>
                      <w:lang w:eastAsia="zh-CN"/>
                    </w:rPr>
                    <w:t>。</w:t>
                  </w:r>
                </w:p>
              </w:tc>
              <w:tc>
                <w:tcPr>
                  <w:tcW w:w="1300" w:type="dxa"/>
                  <w:shd w:val="clear" w:color="auto" w:fill="auto"/>
                  <w:vAlign w:val="center"/>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设备能源部</w:t>
                  </w:r>
                </w:p>
              </w:tc>
              <w:tc>
                <w:tcPr>
                  <w:tcW w:w="1527" w:type="dxa"/>
                  <w:shd w:val="clear" w:color="auto" w:fill="auto"/>
                  <w:vAlign w:val="center"/>
                </w:tcPr>
                <w:p>
                  <w:pPr>
                    <w:shd w:val="clear" w:color="auto" w:fill="EBF1DE" w:themeFill="accent3" w:themeFillTint="32"/>
                    <w:jc w:val="center"/>
                    <w:rPr>
                      <w:rFonts w:hint="default" w:ascii="宋体" w:hAnsi="宋体" w:eastAsia="宋体"/>
                      <w:highlight w:val="yellow"/>
                      <w:lang w:val="en-US" w:eastAsia="zh-CN"/>
                    </w:rPr>
                  </w:pPr>
                  <w:r>
                    <w:rPr>
                      <w:rFonts w:hint="eastAsia" w:ascii="宋体" w:hAnsi="宋体"/>
                      <w:highlight w:val="yellow"/>
                      <w:lang w:val="en-US" w:eastAsia="zh-CN"/>
                    </w:rPr>
                    <w:t>目标已经实现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highlight w:val="yellow"/>
                    </w:rPr>
                  </w:pPr>
                </w:p>
              </w:tc>
              <w:tc>
                <w:tcPr>
                  <w:tcW w:w="4420" w:type="dxa"/>
                  <w:shd w:val="clear" w:color="auto" w:fill="auto"/>
                  <w:vAlign w:val="center"/>
                </w:tcPr>
                <w:p>
                  <w:pPr>
                    <w:shd w:val="clear" w:color="auto" w:fill="EBF1DE" w:themeFill="accent3" w:themeFillTint="32"/>
                    <w:rPr>
                      <w:rFonts w:ascii="宋体" w:hAnsi="宋体"/>
                      <w:highlight w:val="yellow"/>
                    </w:rPr>
                  </w:pPr>
                </w:p>
              </w:tc>
              <w:tc>
                <w:tcPr>
                  <w:tcW w:w="1300" w:type="dxa"/>
                  <w:shd w:val="clear" w:color="auto" w:fill="auto"/>
                  <w:vAlign w:val="center"/>
                </w:tcPr>
                <w:p>
                  <w:pPr>
                    <w:shd w:val="clear" w:color="auto" w:fill="EBF1DE" w:themeFill="accent3" w:themeFillTint="32"/>
                    <w:rPr>
                      <w:rFonts w:ascii="宋体" w:hAnsi="宋体"/>
                      <w:highlight w:val="yellow"/>
                    </w:rPr>
                  </w:pPr>
                </w:p>
              </w:tc>
              <w:tc>
                <w:tcPr>
                  <w:tcW w:w="1527" w:type="dxa"/>
                  <w:shd w:val="clear" w:color="auto" w:fill="auto"/>
                  <w:vAlign w:val="center"/>
                </w:tcPr>
                <w:p>
                  <w:pPr>
                    <w:shd w:val="clear" w:color="auto" w:fill="EBF1DE" w:themeFill="accent3" w:themeFillTint="32"/>
                    <w:jc w:val="center"/>
                    <w:rPr>
                      <w:rFonts w:ascii="宋体" w:hAnsi="宋体"/>
                      <w:highlight w:val="yellow"/>
                    </w:rPr>
                  </w:pPr>
                </w:p>
              </w:tc>
            </w:tr>
          </w:tbl>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A8"/>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FE"/>
            </w:r>
            <w:r>
              <w:rPr>
                <w:rFonts w:hint="eastAsia"/>
                <w:highlight w:val="yellow"/>
              </w:rPr>
              <w:t xml:space="preserve">技术  </w:t>
            </w:r>
            <w:r>
              <w:rPr>
                <w:rFonts w:hint="eastAsia"/>
                <w:highlight w:val="yellow"/>
              </w:rPr>
              <w:sym w:font="Wingdings" w:char="00A8"/>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color w:val="FF0000"/>
                <w:highlight w:val="yellow"/>
                <w:u w:val="single"/>
              </w:rPr>
              <w:t xml:space="preserve"> </w:t>
            </w:r>
            <w:r>
              <w:rPr>
                <w:rFonts w:hint="default" w:ascii="Times New Roman" w:hAnsi="Times New Roman" w:eastAsia="宋体" w:cs="Times New Roman"/>
                <w:highlight w:val="yellow"/>
                <w:u w:val="single"/>
                <w:lang w:val="en-US" w:eastAsia="zh-CN"/>
              </w:rPr>
              <w:t>13</w:t>
            </w:r>
            <w:r>
              <w:rPr>
                <w:rFonts w:hint="eastAsia" w:ascii="Times New Roman" w:hAnsi="Times New Roman" w:eastAsia="宋体" w:cs="Times New Roman"/>
                <w:highlight w:val="yellow"/>
                <w:u w:val="single"/>
                <w:lang w:val="en-US" w:eastAsia="zh-CN"/>
              </w:rPr>
              <w:t>0000</w:t>
            </w:r>
            <w:r>
              <w:rPr>
                <w:rFonts w:hint="eastAsia"/>
                <w:highlight w:val="yellow"/>
                <w:u w:val="single"/>
              </w:rPr>
              <w:t xml:space="preserve"> </w:t>
            </w:r>
            <w:r>
              <w:rPr>
                <w:rFonts w:hint="eastAsia"/>
                <w:highlight w:val="yellow"/>
              </w:rPr>
              <w:t>平方米；生产车间</w:t>
            </w:r>
            <w:r>
              <w:rPr>
                <w:rFonts w:hint="eastAsia"/>
                <w:highlight w:val="yellow"/>
                <w:u w:val="single"/>
              </w:rPr>
              <w:t xml:space="preserve"> </w:t>
            </w:r>
            <w:r>
              <w:rPr>
                <w:rFonts w:hint="eastAsia"/>
                <w:highlight w:val="yellow"/>
                <w:u w:val="single"/>
                <w:lang w:val="en-US" w:eastAsia="zh-CN"/>
              </w:rPr>
              <w:t>2</w:t>
            </w:r>
            <w:r>
              <w:rPr>
                <w:rFonts w:hint="eastAsia"/>
                <w:highlight w:val="yellow"/>
                <w:u w:val="single"/>
              </w:rPr>
              <w:t xml:space="preserve"> </w:t>
            </w:r>
            <w:r>
              <w:rPr>
                <w:rFonts w:hint="eastAsia"/>
                <w:highlight w:val="yellow"/>
              </w:rPr>
              <w:t>个；库房</w:t>
            </w:r>
            <w:r>
              <w:rPr>
                <w:rFonts w:hint="eastAsia"/>
                <w:highlight w:val="yellow"/>
                <w:u w:val="single"/>
              </w:rPr>
              <w:t xml:space="preserve">    </w:t>
            </w:r>
            <w:r>
              <w:rPr>
                <w:rFonts w:hint="eastAsia"/>
                <w:highlight w:val="yellow"/>
              </w:rPr>
              <w:t>个；实验室</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w:t>
            </w:r>
            <w:r>
              <w:rPr>
                <w:rFonts w:hint="eastAsia" w:ascii="Times New Roman" w:hAnsi="Times New Roman" w:eastAsia="宋体" w:cs="Times New Roman"/>
                <w:highlight w:val="yellow"/>
                <w:u w:val="single"/>
                <w:lang w:val="en-US" w:eastAsia="zh-CN"/>
              </w:rPr>
              <w:t>侧吹炉、烟化炉、焙砂干燥窑、锅炉</w:t>
            </w:r>
            <w:r>
              <w:rPr>
                <w:rFonts w:hint="eastAsia"/>
                <w:highlight w:val="yellow"/>
                <w:u w:val="single"/>
              </w:rPr>
              <w:t>（列举2~4种）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w:t>
            </w:r>
            <w:r>
              <w:rPr>
                <w:rFonts w:hint="eastAsia" w:ascii="Times New Roman" w:hAnsi="Times New Roman" w:eastAsia="宋体" w:cs="Times New Roman"/>
                <w:highlight w:val="yellow"/>
                <w:u w:val="single"/>
                <w:lang w:val="en-US" w:eastAsia="zh-CN"/>
              </w:rPr>
              <w:t>侧吹炉、烟化炉、焙砂干燥窑、锅炉</w:t>
            </w:r>
            <w:r>
              <w:rPr>
                <w:rFonts w:hint="eastAsia"/>
                <w:highlight w:val="yellow"/>
                <w:u w:val="single"/>
              </w:rPr>
              <w:t xml:space="preserve"> （列举2~4种）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A8"/>
            </w:r>
            <w:r>
              <w:rPr>
                <w:rFonts w:hint="eastAsia"/>
                <w:highlight w:val="yellow"/>
              </w:rPr>
              <w:t xml:space="preserve">叉车 </w:t>
            </w:r>
            <w:r>
              <w:rPr>
                <w:rFonts w:hint="eastAsia"/>
                <w:highlight w:val="yellow"/>
              </w:rPr>
              <w:sym w:font="Wingdings" w:char="00FE"/>
            </w:r>
            <w:r>
              <w:rPr>
                <w:rFonts w:hint="eastAsia"/>
                <w:highlight w:val="yellow"/>
              </w:rPr>
              <w:t xml:space="preserve">行车 </w:t>
            </w:r>
            <w:r>
              <w:rPr>
                <w:rFonts w:hint="eastAsia"/>
                <w:highlight w:val="yellow"/>
              </w:rPr>
              <w:sym w:font="Wingdings" w:char="00FE"/>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A8"/>
            </w:r>
            <w:r>
              <w:rPr>
                <w:rFonts w:hint="eastAsia"/>
                <w:highlight w:val="yellow"/>
              </w:rPr>
              <w:t xml:space="preserve">高压配电室 </w:t>
            </w:r>
            <w:r>
              <w:rPr>
                <w:rFonts w:hint="eastAsia"/>
                <w:highlight w:val="yellow"/>
              </w:rPr>
              <w:sym w:font="Wingdings" w:char="00FE"/>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FE"/>
            </w:r>
            <w:r>
              <w:rPr>
                <w:rFonts w:hint="eastAsia"/>
                <w:highlight w:val="yellow"/>
              </w:rPr>
              <w:t xml:space="preserve">锅炉房 </w:t>
            </w:r>
            <w:r>
              <w:rPr>
                <w:rFonts w:hint="eastAsia"/>
                <w:highlight w:val="yellow"/>
              </w:rPr>
              <w:sym w:font="Wingdings" w:char="00A8"/>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highlight w:val="yellow"/>
                <w:u w:val="single"/>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电度表、地磅秤、天然气流量表</w:t>
            </w:r>
            <w:r>
              <w:rPr>
                <w:rFonts w:hint="eastAsia"/>
                <w:highlight w:val="yellow"/>
                <w:u w:val="single"/>
              </w:rPr>
              <w:t xml:space="preserve">      （列举1~4种）</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FE"/>
            </w:r>
            <w:r>
              <w:rPr>
                <w:rFonts w:hint="eastAsia"/>
                <w:highlight w:val="yellow"/>
              </w:rPr>
              <w:t xml:space="preserve">进行了定期校准/检定  </w:t>
            </w:r>
            <w:r>
              <w:rPr>
                <w:rFonts w:hint="eastAsia"/>
                <w:highlight w:val="yellow"/>
              </w:rPr>
              <w:sym w:font="Wingdings" w:char="00A8"/>
            </w:r>
            <w:r>
              <w:rPr>
                <w:rFonts w:hint="eastAsia"/>
                <w:highlight w:val="yellow"/>
              </w:rPr>
              <w:t xml:space="preserve">未进行定期校准/检定的有： </w:t>
            </w:r>
            <w:r>
              <w:rPr>
                <w:rFonts w:hint="eastAsia"/>
                <w:highlight w:val="yellow"/>
                <w:u w:val="single"/>
              </w:rPr>
              <w:t xml:space="preserve">  </w:t>
            </w:r>
            <w:r>
              <w:rPr>
                <w:rFonts w:hint="eastAsia"/>
                <w:highlight w:val="yellow"/>
                <w:u w:val="single"/>
                <w:lang w:val="en-US" w:eastAsia="zh-CN"/>
              </w:rPr>
              <w:t xml:space="preserve">    </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FE"/>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FE"/>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FF0000"/>
                <w:highlight w:val="yellow"/>
              </w:rPr>
            </w:pPr>
            <w:r>
              <w:rPr>
                <w:rFonts w:hint="eastAsia"/>
                <w:color w:val="FF0000"/>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FF0000"/>
                <w:highlight w:val="yellow"/>
              </w:rPr>
              <w:t xml:space="preserve"> </w:t>
            </w:r>
            <w:r>
              <w:rPr>
                <w:rFonts w:hint="eastAsia"/>
                <w:color w:val="FF0000"/>
                <w:highlight w:val="yellow"/>
              </w:rPr>
              <w:sym w:font="Wingdings" w:char="00FE"/>
            </w:r>
            <w:r>
              <w:rPr>
                <w:rFonts w:hint="eastAsia"/>
                <w:color w:val="FF0000"/>
                <w:highlight w:val="yellow"/>
              </w:rPr>
              <w:t xml:space="preserve">操作规程 </w:t>
            </w:r>
            <w:r>
              <w:rPr>
                <w:rFonts w:hint="eastAsia"/>
                <w:color w:val="FF0000"/>
                <w:highlight w:val="yellow"/>
              </w:rPr>
              <w:sym w:font="Wingdings" w:char="00FE"/>
            </w:r>
            <w:r>
              <w:rPr>
                <w:rFonts w:hint="eastAsia"/>
                <w:color w:val="FF0000"/>
                <w:highlight w:val="yellow"/>
              </w:rPr>
              <w:t xml:space="preserve">作业文件  </w:t>
            </w:r>
            <w:r>
              <w:rPr>
                <w:rFonts w:hint="eastAsia"/>
                <w:color w:val="FF0000"/>
                <w:highlight w:val="yellow"/>
              </w:rPr>
              <w:sym w:font="Wingdings" w:char="00A8"/>
            </w:r>
            <w:r>
              <w:rPr>
                <w:rFonts w:hint="eastAsia"/>
                <w:color w:val="FF0000"/>
                <w:highlight w:val="yellow"/>
              </w:rPr>
              <w:t xml:space="preserve">工艺卡片   </w:t>
            </w:r>
            <w:r>
              <w:rPr>
                <w:rFonts w:hint="eastAsia"/>
                <w:color w:val="FF0000"/>
                <w:highlight w:val="yellow"/>
              </w:rPr>
              <w:sym w:font="Wingdings" w:char="00FE"/>
            </w:r>
            <w:r>
              <w:rPr>
                <w:rFonts w:hint="eastAsia"/>
                <w:color w:val="FF0000"/>
                <w:highlight w:val="yellow"/>
              </w:rPr>
              <w:t xml:space="preserve">接收准则  </w:t>
            </w:r>
            <w:r>
              <w:rPr>
                <w:rFonts w:hint="eastAsia"/>
                <w:color w:val="FF0000"/>
                <w:highlight w:val="yellow"/>
              </w:rPr>
              <w:sym w:font="Wingdings" w:char="00FE"/>
            </w:r>
            <w:r>
              <w:rPr>
                <w:rFonts w:hint="eastAsia"/>
                <w:color w:val="FF0000"/>
                <w:highlight w:val="yellow"/>
              </w:rPr>
              <w:t xml:space="preserve">工艺流程图  </w:t>
            </w:r>
            <w:r>
              <w:rPr>
                <w:rFonts w:hint="eastAsia"/>
                <w:color w:val="FF0000"/>
                <w:highlight w:val="yellow"/>
              </w:rPr>
              <w:sym w:font="Wingdings" w:char="00A8"/>
            </w:r>
            <w:r>
              <w:rPr>
                <w:rFonts w:hint="eastAsia"/>
                <w:color w:val="FF0000"/>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FE"/>
            </w:r>
            <w:r>
              <w:rPr>
                <w:rFonts w:hint="eastAsia"/>
                <w:highlight w:val="yellow"/>
              </w:rPr>
              <w:t xml:space="preserve">能源采购 </w:t>
            </w:r>
            <w:r>
              <w:rPr>
                <w:rFonts w:hint="eastAsia"/>
                <w:highlight w:val="yellow"/>
              </w:rPr>
              <w:sym w:font="Wingdings" w:char="00FE"/>
            </w:r>
            <w:r>
              <w:rPr>
                <w:rFonts w:hint="eastAsia"/>
                <w:highlight w:val="yellow"/>
              </w:rPr>
              <w:t xml:space="preserve">主要用能设备采购  </w:t>
            </w:r>
            <w:r>
              <w:rPr>
                <w:rFonts w:hint="eastAsia"/>
                <w:highlight w:val="yellow"/>
              </w:rPr>
              <w:sym w:font="Wingdings" w:char="00A8"/>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A8"/>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3665" w:type="dxa"/>
                </w:tcPr>
                <w:p>
                  <w:pPr>
                    <w:shd w:val="clear" w:color="auto" w:fill="EBF1DE" w:themeFill="accent3" w:themeFillTint="32"/>
                    <w:jc w:val="left"/>
                    <w:rPr>
                      <w:highlight w:val="yellow"/>
                    </w:rPr>
                  </w:pPr>
                  <w:r>
                    <w:rPr>
                      <w:rFonts w:hint="eastAsia"/>
                      <w:highlight w:val="yellow"/>
                    </w:rPr>
                    <w:t>控制措施</w:t>
                  </w:r>
                </w:p>
              </w:tc>
              <w:tc>
                <w:tcPr>
                  <w:tcW w:w="3265"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蒸汽消耗</w:t>
                  </w:r>
                </w:p>
              </w:tc>
              <w:tc>
                <w:tcPr>
                  <w:tcW w:w="3665"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使蒸汽充分利用，杜绝跑冒滴漏现象。</w:t>
                  </w:r>
                </w:p>
              </w:tc>
              <w:tc>
                <w:tcPr>
                  <w:tcW w:w="3265" w:type="dxa"/>
                </w:tcPr>
                <w:p>
                  <w:pPr>
                    <w:shd w:val="clear" w:color="auto" w:fill="EBF1DE" w:themeFill="accent3" w:themeFillTint="32"/>
                    <w:jc w:val="left"/>
                    <w:rPr>
                      <w:highlight w:val="yellow"/>
                    </w:rPr>
                  </w:pPr>
                  <w:r>
                    <w:rPr>
                      <w:rFonts w:hint="eastAsia"/>
                      <w:highlight w:val="yellow"/>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天然气消耗</w:t>
                  </w:r>
                </w:p>
              </w:tc>
              <w:tc>
                <w:tcPr>
                  <w:tcW w:w="3665"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充分燃烧</w:t>
                  </w:r>
                </w:p>
              </w:tc>
              <w:tc>
                <w:tcPr>
                  <w:tcW w:w="3265" w:type="dxa"/>
                </w:tcPr>
                <w:p>
                  <w:pPr>
                    <w:shd w:val="clear" w:color="auto" w:fill="EBF1DE" w:themeFill="accent3" w:themeFillTint="32"/>
                    <w:jc w:val="left"/>
                    <w:rPr>
                      <w:highlight w:val="yellow"/>
                    </w:rPr>
                  </w:pPr>
                  <w:r>
                    <w:rPr>
                      <w:rFonts w:hint="eastAsia"/>
                      <w:highlight w:val="yellow"/>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3665" w:type="dxa"/>
                </w:tcPr>
                <w:p>
                  <w:pPr>
                    <w:numPr>
                      <w:ilvl w:val="0"/>
                      <w:numId w:val="0"/>
                    </w:numPr>
                    <w:shd w:val="clear" w:color="auto" w:fill="EBF1DE" w:themeFill="accent3" w:themeFillTint="32"/>
                    <w:jc w:val="left"/>
                    <w:rPr>
                      <w:rFonts w:hint="default"/>
                      <w:highlight w:val="yellow"/>
                      <w:lang w:val="en-US" w:eastAsia="zh-CN"/>
                    </w:rPr>
                  </w:pPr>
                  <w:r>
                    <w:rPr>
                      <w:rFonts w:hint="eastAsia" w:ascii="Times New Roman" w:hAnsi="Times New Roman" w:eastAsia="宋体" w:cs="Times New Roman"/>
                      <w:highlight w:val="yellow"/>
                      <w:u w:val="single"/>
                      <w:lang w:val="en-US" w:eastAsia="zh-CN"/>
                    </w:rPr>
                    <w:t>控制侧吹炉、烟化炉、焙砂干燥窑的用电量，</w:t>
                  </w:r>
                </w:p>
              </w:tc>
              <w:tc>
                <w:tcPr>
                  <w:tcW w:w="3265"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燃料气</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其他</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FE"/>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2021</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5</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FE"/>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bookmarkStart w:id="7" w:name="_GoBack"/>
            <w:bookmarkEnd w:id="7"/>
            <w:r>
              <w:rPr>
                <w:rFonts w:hint="eastAsia"/>
                <w:highlight w:val="yellow"/>
              </w:rPr>
              <w:sym w:font="Wingdings" w:char="00A8"/>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8</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30</w:t>
            </w:r>
            <w:r>
              <w:rPr>
                <w:rFonts w:hint="eastAsia"/>
                <w:highlight w:val="yellow"/>
                <w:u w:val="single"/>
              </w:rPr>
              <w:t xml:space="preserve">  </w:t>
            </w:r>
            <w:r>
              <w:rPr>
                <w:rFonts w:hint="eastAsia"/>
                <w:highlight w:val="yellow"/>
              </w:rPr>
              <w:t>日实施了能源管理体系内部审核，对能源管理体系的符合性和有效性进行了审核。内审发现的</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11</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15</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检测结果不合格 </w:t>
            </w:r>
            <w:r>
              <w:rPr>
                <w:rFonts w:hint="eastAsia"/>
                <w:highlight w:val="yellow"/>
              </w:rPr>
              <w:sym w:font="Wingdings" w:char="00A8"/>
            </w:r>
            <w:r>
              <w:rPr>
                <w:rFonts w:hint="eastAsia"/>
                <w:highlight w:val="yellow"/>
              </w:rPr>
              <w:t xml:space="preserve">自我检查的结果  </w:t>
            </w:r>
            <w:r>
              <w:rPr>
                <w:rFonts w:hint="eastAsia"/>
                <w:highlight w:val="yellow"/>
              </w:rPr>
              <w:sym w:font="Wingdings" w:char="00A8"/>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rPr>
          <w:highlight w:val="yellow"/>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80" w:type="dxa"/>
            <w:shd w:val="clear" w:color="auto" w:fill="EBF1DE" w:themeFill="accent3" w:themeFillTint="32"/>
          </w:tcPr>
          <w:p>
            <w:pPr>
              <w:shd w:val="clear" w:color="auto" w:fill="EBF1DE" w:themeFill="accent3" w:themeFillTint="32"/>
              <w:rPr>
                <w:rFonts w:hint="default"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yellow"/>
        </w:rPr>
      </w:pPr>
      <w:r>
        <w:rPr>
          <w:highlight w:val="yellow"/>
        </w:rPr>
        <w:t xml:space="preserve">*评价: </w:t>
      </w:r>
      <w:r>
        <w:rPr>
          <w:highlight w:val="yellow"/>
        </w:rPr>
        <w:tab/>
      </w:r>
      <w:r>
        <w:rPr>
          <w:highlight w:val="yellow"/>
        </w:rPr>
        <w:t>1 = 符合</w:t>
      </w:r>
    </w:p>
    <w:p>
      <w:pPr>
        <w:shd w:val="clear" w:color="auto" w:fill="EBF1DE" w:themeFill="accent3" w:themeFillTint="32"/>
        <w:rPr>
          <w:highlight w:val="yellow"/>
        </w:rPr>
      </w:pPr>
      <w:r>
        <w:rPr>
          <w:highlight w:val="yellow"/>
        </w:rPr>
        <w:tab/>
      </w:r>
      <w:r>
        <w:rPr>
          <w:highlight w:val="yellow"/>
        </w:rPr>
        <w:tab/>
      </w:r>
      <w:r>
        <w:rPr>
          <w:highlight w:val="yellow"/>
        </w:rPr>
        <w:t>2 = 这次审核没审</w:t>
      </w:r>
    </w:p>
    <w:p>
      <w:pPr>
        <w:shd w:val="clear" w:color="auto" w:fill="EBF1DE" w:themeFill="accent3" w:themeFillTint="32"/>
        <w:rPr>
          <w:highlight w:val="yellow"/>
        </w:rPr>
      </w:pPr>
      <w:r>
        <w:rPr>
          <w:highlight w:val="yellow"/>
        </w:rPr>
        <w:tab/>
      </w:r>
      <w:r>
        <w:rPr>
          <w:highlight w:val="yellow"/>
        </w:rPr>
        <w:tab/>
      </w:r>
      <w:r>
        <w:rPr>
          <w:highlight w:val="yellow"/>
        </w:rPr>
        <w:t xml:space="preserve">3 = 失效/不符合(参见不符合报告)  </w:t>
      </w:r>
    </w:p>
    <w:p>
      <w:pPr>
        <w:shd w:val="clear" w:color="auto" w:fill="EBF1DE" w:themeFill="accent3" w:themeFillTint="32"/>
      </w:pPr>
      <w:r>
        <w:rPr>
          <w:highlight w:val="yellow"/>
        </w:rPr>
        <w:tab/>
      </w:r>
      <w:r>
        <w:rPr>
          <w:highlight w:val="yellow"/>
        </w:rPr>
        <w:tab/>
      </w:r>
      <w:r>
        <w:rPr>
          <w:highlight w:val="yellow"/>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6"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6"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1312;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DmavWw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6"/>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1A9CB"/>
    <w:multiLevelType w:val="singleLevel"/>
    <w:tmpl w:val="ADC1A9CB"/>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4D40F7"/>
    <w:rsid w:val="088153EF"/>
    <w:rsid w:val="093C4240"/>
    <w:rsid w:val="09713483"/>
    <w:rsid w:val="09B63CA5"/>
    <w:rsid w:val="09D154C9"/>
    <w:rsid w:val="09DB7BDC"/>
    <w:rsid w:val="0A444DE5"/>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C85DCD"/>
    <w:rsid w:val="12E87EE4"/>
    <w:rsid w:val="13B33091"/>
    <w:rsid w:val="13CE3A28"/>
    <w:rsid w:val="141B5992"/>
    <w:rsid w:val="15805901"/>
    <w:rsid w:val="168C2F3F"/>
    <w:rsid w:val="184E1945"/>
    <w:rsid w:val="18C04DA6"/>
    <w:rsid w:val="1914584E"/>
    <w:rsid w:val="19C9634C"/>
    <w:rsid w:val="19F41442"/>
    <w:rsid w:val="1A7C511D"/>
    <w:rsid w:val="1B0E7427"/>
    <w:rsid w:val="1B123CDB"/>
    <w:rsid w:val="1B27032A"/>
    <w:rsid w:val="1B3D6AD2"/>
    <w:rsid w:val="1C440198"/>
    <w:rsid w:val="1CCA7E2F"/>
    <w:rsid w:val="1CEE3B97"/>
    <w:rsid w:val="1DB517B7"/>
    <w:rsid w:val="1DD8325C"/>
    <w:rsid w:val="1E94271D"/>
    <w:rsid w:val="1F5A7593"/>
    <w:rsid w:val="1F66158E"/>
    <w:rsid w:val="20894C79"/>
    <w:rsid w:val="21611269"/>
    <w:rsid w:val="21684FA1"/>
    <w:rsid w:val="227228C8"/>
    <w:rsid w:val="227F426E"/>
    <w:rsid w:val="23D0287E"/>
    <w:rsid w:val="23F92929"/>
    <w:rsid w:val="241E1146"/>
    <w:rsid w:val="24A90475"/>
    <w:rsid w:val="25222FE3"/>
    <w:rsid w:val="266E2547"/>
    <w:rsid w:val="26CD7776"/>
    <w:rsid w:val="282D2075"/>
    <w:rsid w:val="287D37C7"/>
    <w:rsid w:val="294B2CEA"/>
    <w:rsid w:val="298266E7"/>
    <w:rsid w:val="298E75E3"/>
    <w:rsid w:val="29A5000B"/>
    <w:rsid w:val="2A351B1D"/>
    <w:rsid w:val="2A4B433E"/>
    <w:rsid w:val="2ABD43D7"/>
    <w:rsid w:val="2B59267F"/>
    <w:rsid w:val="2BB3049A"/>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1D088C"/>
    <w:rsid w:val="39245C09"/>
    <w:rsid w:val="3A2B65EA"/>
    <w:rsid w:val="3ACF0C29"/>
    <w:rsid w:val="3BF24345"/>
    <w:rsid w:val="3C6210A8"/>
    <w:rsid w:val="3CF27344"/>
    <w:rsid w:val="3EAD396E"/>
    <w:rsid w:val="3F0F4FB2"/>
    <w:rsid w:val="3FA04660"/>
    <w:rsid w:val="401B73D5"/>
    <w:rsid w:val="414E4D29"/>
    <w:rsid w:val="41847DAD"/>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332A30"/>
    <w:rsid w:val="4C8978AB"/>
    <w:rsid w:val="4D006984"/>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9EB1F6D"/>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11</TotalTime>
  <ScaleCrop>false</ScaleCrop>
  <LinksUpToDate>false</LinksUpToDate>
  <CharactersWithSpaces>31559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2021-04-01T02:26:32Z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CDE055CD356E4C6C9EAA46340EE72680</vt:lpwstr>
  </property>
</Properties>
</file>