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0159-2021-QEOEnMS</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青海湘和有色金属有限责任公司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周涛</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张慧琴</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Q:12.01.03</w:t>
            </w:r>
          </w:p>
          <w:p>
            <w:pPr>
              <w:spacing w:line="240" w:lineRule="exact"/>
              <w:jc w:val="center"/>
              <w:rPr>
                <w:b/>
                <w:color w:val="000000"/>
                <w:sz w:val="20"/>
                <w:szCs w:val="20"/>
              </w:rPr>
            </w:pPr>
            <w:r>
              <w:rPr>
                <w:b/>
                <w:color w:val="000000"/>
                <w:sz w:val="20"/>
                <w:szCs w:val="20"/>
              </w:rPr>
              <w:t>E:12.01.03</w:t>
            </w:r>
          </w:p>
          <w:p>
            <w:pPr>
              <w:spacing w:line="240" w:lineRule="exact"/>
              <w:jc w:val="center"/>
              <w:rPr>
                <w:b/>
                <w:color w:val="000000"/>
                <w:sz w:val="20"/>
                <w:szCs w:val="20"/>
              </w:rPr>
            </w:pPr>
            <w:r>
              <w:rPr>
                <w:b/>
                <w:color w:val="000000"/>
                <w:sz w:val="20"/>
                <w:szCs w:val="20"/>
              </w:rPr>
              <w:t>O:12.01.03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李凤仪</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安涛</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tc>
        <w:tc>
          <w:tcPr>
            <w:tcW w:w="2179" w:type="dxa"/>
            <w:gridSpan w:val="2"/>
            <w:vAlign w:val="center"/>
          </w:tcPr>
          <w:p>
            <w:pPr>
              <w:spacing w:line="240" w:lineRule="exact"/>
              <w:jc w:val="center"/>
              <w:rPr>
                <w:b/>
                <w:color w:val="000000"/>
                <w:sz w:val="20"/>
                <w:szCs w:val="2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质量管理体系,环境管理体系,职业健康安全管理体系,能源管理体系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青海湘和有色金属有限责任公司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西宁经济技术开发区甘河工业园区</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810006</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西宁经济技术开发区甘河工业园区</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810006</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罗贞</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13897445091</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张春发</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廖园园</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369006476@qq.com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color w:val="000000"/>
                <w:szCs w:val="18"/>
              </w:rPr>
              <w:t>管理手册发布的时间：</w:t>
            </w:r>
            <w:r>
              <w:rPr>
                <w:rFonts w:hint="eastAsia"/>
                <w:color w:val="000000"/>
                <w:szCs w:val="21"/>
                <w:lang w:eastAsia="zh-CN"/>
              </w:rPr>
              <w:t>质量、环境、职业健康体系</w:t>
            </w:r>
            <w:r>
              <w:rPr>
                <w:rFonts w:hint="eastAsia"/>
                <w:color w:val="000000"/>
                <w:szCs w:val="18"/>
              </w:rPr>
              <w:t>20</w:t>
            </w:r>
            <w:r>
              <w:rPr>
                <w:rFonts w:hint="eastAsia"/>
                <w:color w:val="000000"/>
                <w:szCs w:val="18"/>
                <w:lang w:val="en-US"/>
              </w:rPr>
              <w:t>20</w:t>
            </w:r>
            <w:r>
              <w:rPr>
                <w:rFonts w:hint="eastAsia"/>
                <w:color w:val="000000"/>
                <w:szCs w:val="18"/>
              </w:rPr>
              <w:t>年</w:t>
            </w:r>
            <w:r>
              <w:rPr>
                <w:rFonts w:hint="eastAsia"/>
                <w:color w:val="000000"/>
                <w:szCs w:val="18"/>
                <w:lang w:val="en-US"/>
              </w:rPr>
              <w:t>6</w:t>
            </w:r>
            <w:r>
              <w:rPr>
                <w:rFonts w:hint="eastAsia"/>
                <w:color w:val="000000"/>
                <w:szCs w:val="18"/>
              </w:rPr>
              <w:t>月</w:t>
            </w:r>
            <w:r>
              <w:rPr>
                <w:rFonts w:hint="eastAsia"/>
                <w:color w:val="000000"/>
                <w:szCs w:val="18"/>
                <w:lang w:val="en-US"/>
              </w:rPr>
              <w:t>10</w:t>
            </w:r>
            <w:r>
              <w:rPr>
                <w:rFonts w:hint="eastAsia"/>
                <w:color w:val="000000"/>
                <w:szCs w:val="18"/>
              </w:rPr>
              <w:t>日</w:t>
            </w:r>
            <w:r>
              <w:rPr>
                <w:rFonts w:hint="eastAsia"/>
                <w:color w:val="000000"/>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Q：锌粉、硫酸、次氧化锌的生产</w:t>
            </w:r>
          </w:p>
          <w:p>
            <w:pPr>
              <w:spacing w:line="400" w:lineRule="exact"/>
              <w:rPr>
                <w:rFonts w:ascii="宋体" w:hAnsi="宋体"/>
                <w:b/>
                <w:color w:val="000000"/>
                <w:sz w:val="20"/>
                <w:szCs w:val="20"/>
              </w:rPr>
            </w:pPr>
            <w:r>
              <w:rPr>
                <w:rFonts w:ascii="宋体" w:hAnsi="宋体"/>
                <w:b/>
                <w:color w:val="000000"/>
                <w:sz w:val="20"/>
                <w:szCs w:val="20"/>
              </w:rPr>
              <w:t>E：锌粉、硫酸、次氧化锌的生产所涉及场所的相关环境管理活动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O：锌粉、硫酸、次氧化锌的生产所涉及场所的相关职业健康安全管理活动</w:t>
            </w:r>
          </w:p>
          <w:p>
            <w:pPr>
              <w:spacing w:line="400" w:lineRule="exact"/>
              <w:rPr>
                <w:rFonts w:ascii="宋体" w:hAnsi="宋体"/>
                <w:b/>
                <w:color w:val="000000"/>
                <w:sz w:val="20"/>
                <w:szCs w:val="20"/>
              </w:rPr>
            </w:pPr>
            <w:r>
              <w:rPr>
                <w:rFonts w:ascii="宋体" w:hAnsi="宋体"/>
                <w:b/>
                <w:color w:val="000000"/>
                <w:sz w:val="20"/>
                <w:szCs w:val="20"/>
              </w:rPr>
              <w:t>EnMS：锌粉、硫酸、次氧化锌的生产</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Q：12.01.03</w:t>
            </w:r>
          </w:p>
          <w:p>
            <w:pPr>
              <w:spacing w:line="280" w:lineRule="exact"/>
              <w:rPr>
                <w:rFonts w:ascii="宋体"/>
                <w:b/>
                <w:color w:val="000000"/>
                <w:sz w:val="20"/>
                <w:szCs w:val="20"/>
              </w:rPr>
            </w:pPr>
            <w:r>
              <w:rPr>
                <w:rFonts w:ascii="宋体"/>
                <w:b/>
                <w:color w:val="000000"/>
                <w:sz w:val="20"/>
                <w:szCs w:val="20"/>
              </w:rPr>
              <w:t>E：12.01.03</w:t>
            </w:r>
          </w:p>
          <w:p>
            <w:pPr>
              <w:spacing w:line="280" w:lineRule="exact"/>
              <w:rPr>
                <w:rFonts w:ascii="宋体"/>
                <w:b/>
                <w:color w:val="000000"/>
                <w:sz w:val="20"/>
                <w:szCs w:val="20"/>
              </w:rPr>
            </w:pPr>
            <w:r>
              <w:rPr>
                <w:rFonts w:ascii="宋体"/>
                <w:b/>
                <w:color w:val="000000"/>
                <w:sz w:val="20"/>
                <w:szCs w:val="20"/>
              </w:rPr>
              <w:t>O：12.01.03</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jc w:val="both"/>
        <w:rPr>
          <w:rFonts w:hint="eastAsia"/>
          <w:sz w:val="21"/>
          <w:szCs w:val="21"/>
          <w:highlight w:val="none"/>
          <w:lang w:eastAsia="zh-CN"/>
        </w:rPr>
      </w:pPr>
      <w:r>
        <w:rPr>
          <w:rFonts w:hint="eastAsia" w:ascii="宋体" w:hAnsi="宋体"/>
          <w:b/>
          <w:color w:val="000000"/>
          <w:sz w:val="20"/>
          <w:szCs w:val="20"/>
        </w:rPr>
        <w:t>部门：</w:t>
      </w:r>
      <w:r>
        <w:rPr>
          <w:rFonts w:hint="eastAsia" w:ascii="Times New Roman" w:hAnsi="Times New Roman" w:eastAsia="宋体" w:cs="Times New Roman"/>
          <w:sz w:val="21"/>
          <w:szCs w:val="21"/>
          <w:lang w:val="en-US" w:eastAsia="zh-CN"/>
        </w:rPr>
        <w:t>管理层、</w:t>
      </w:r>
      <w:r>
        <w:rPr>
          <w:rFonts w:hint="eastAsia"/>
          <w:sz w:val="21"/>
          <w:szCs w:val="21"/>
        </w:rPr>
        <w:t>党政办公室</w:t>
      </w:r>
      <w:r>
        <w:rPr>
          <w:rFonts w:hint="eastAsia"/>
          <w:sz w:val="21"/>
          <w:szCs w:val="21"/>
          <w:lang w:eastAsia="zh-CN"/>
        </w:rPr>
        <w:t>、</w:t>
      </w:r>
      <w:r>
        <w:rPr>
          <w:rFonts w:hint="eastAsia"/>
          <w:sz w:val="21"/>
          <w:szCs w:val="21"/>
        </w:rPr>
        <w:t>财务管理部</w:t>
      </w:r>
      <w:r>
        <w:rPr>
          <w:rFonts w:hint="eastAsia"/>
          <w:sz w:val="21"/>
          <w:szCs w:val="21"/>
          <w:lang w:eastAsia="zh-CN"/>
        </w:rPr>
        <w:t>、</w:t>
      </w:r>
      <w:r>
        <w:rPr>
          <w:rFonts w:hint="eastAsia"/>
          <w:sz w:val="21"/>
          <w:szCs w:val="21"/>
        </w:rPr>
        <w:t>购销管理部</w:t>
      </w:r>
      <w:r>
        <w:rPr>
          <w:rFonts w:hint="eastAsia"/>
          <w:sz w:val="21"/>
          <w:szCs w:val="21"/>
          <w:lang w:eastAsia="zh-CN"/>
        </w:rPr>
        <w:t>、</w:t>
      </w:r>
      <w:r>
        <w:rPr>
          <w:rFonts w:hint="eastAsia"/>
          <w:sz w:val="21"/>
          <w:szCs w:val="21"/>
        </w:rPr>
        <w:t>质量工艺技术部</w:t>
      </w:r>
      <w:r>
        <w:rPr>
          <w:rFonts w:hint="eastAsia"/>
          <w:sz w:val="21"/>
          <w:szCs w:val="21"/>
          <w:lang w:eastAsia="zh-CN"/>
        </w:rPr>
        <w:t>、</w:t>
      </w:r>
      <w:r>
        <w:rPr>
          <w:rFonts w:hint="eastAsia"/>
          <w:sz w:val="21"/>
          <w:szCs w:val="21"/>
        </w:rPr>
        <w:t>安全环保部</w:t>
      </w:r>
      <w:r>
        <w:rPr>
          <w:rFonts w:hint="eastAsia"/>
          <w:sz w:val="21"/>
          <w:szCs w:val="21"/>
          <w:lang w:eastAsia="zh-CN"/>
        </w:rPr>
        <w:t>、</w:t>
      </w:r>
      <w:r>
        <w:rPr>
          <w:rFonts w:hint="eastAsia"/>
          <w:sz w:val="21"/>
          <w:szCs w:val="21"/>
        </w:rPr>
        <w:t>设备能源部</w:t>
      </w:r>
      <w:r>
        <w:rPr>
          <w:rFonts w:hint="eastAsia"/>
          <w:sz w:val="21"/>
          <w:szCs w:val="21"/>
          <w:lang w:eastAsia="zh-CN"/>
        </w:rPr>
        <w:t>、</w:t>
      </w:r>
      <w:r>
        <w:rPr>
          <w:rFonts w:hint="eastAsia"/>
          <w:sz w:val="21"/>
          <w:szCs w:val="21"/>
          <w:highlight w:val="none"/>
          <w:lang w:eastAsia="zh-CN"/>
        </w:rPr>
        <w:t>生产</w:t>
      </w:r>
    </w:p>
    <w:p>
      <w:pPr>
        <w:jc w:val="left"/>
        <w:rPr>
          <w:rFonts w:hint="eastAsia" w:ascii="宋体" w:eastAsia="宋体"/>
          <w:b/>
          <w:color w:val="000000"/>
          <w:sz w:val="20"/>
          <w:szCs w:val="20"/>
          <w:lang w:val="en-US" w:eastAsia="zh-CN"/>
        </w:rPr>
      </w:pPr>
      <w:r>
        <w:rPr>
          <w:rFonts w:hint="eastAsia"/>
          <w:sz w:val="21"/>
          <w:szCs w:val="21"/>
          <w:highlight w:val="none"/>
          <w:lang w:eastAsia="zh-CN"/>
        </w:rPr>
        <w:t>技术部、</w:t>
      </w:r>
      <w:r>
        <w:rPr>
          <w:rFonts w:hint="eastAsia"/>
          <w:sz w:val="21"/>
          <w:szCs w:val="21"/>
        </w:rPr>
        <w:t>生产车间</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sz w:val="21"/>
          <w:szCs w:val="21"/>
        </w:rPr>
        <w:t>生产车间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hint="default" w:ascii="宋体" w:eastAsia="宋体"/>
                <w:b/>
                <w:color w:val="000000"/>
                <w:sz w:val="20"/>
                <w:szCs w:val="20"/>
                <w:lang w:val="en-US" w:eastAsia="zh-CN"/>
              </w:rPr>
            </w:pPr>
            <w:r>
              <w:rPr>
                <w:rFonts w:hint="eastAsia" w:ascii="宋体" w:hAnsi="宋体"/>
                <w:b/>
                <w:color w:val="000000"/>
                <w:sz w:val="20"/>
                <w:szCs w:val="20"/>
              </w:rPr>
              <w:t>产品：</w:t>
            </w:r>
            <w:r>
              <w:rPr>
                <w:rFonts w:hint="eastAsia" w:ascii="宋体" w:hAnsi="宋体"/>
                <w:b/>
                <w:color w:val="000000"/>
                <w:sz w:val="20"/>
                <w:szCs w:val="20"/>
                <w:lang w:val="en-US" w:eastAsia="zh-CN"/>
              </w:rPr>
              <w:t>锌粉、硫酸、次氧化锌</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jc w:val="both"/>
              <w:rPr>
                <w:rFonts w:ascii="宋体"/>
                <w:b/>
                <w:color w:val="000000"/>
                <w:sz w:val="20"/>
                <w:szCs w:val="20"/>
              </w:rPr>
            </w:pPr>
            <w:r>
              <w:rPr>
                <w:rFonts w:hint="eastAsia" w:ascii="宋体" w:hAnsi="宋体"/>
                <w:b/>
                <w:color w:val="000000"/>
                <w:sz w:val="20"/>
                <w:szCs w:val="20"/>
              </w:rPr>
              <w:t>公司部门设置：</w:t>
            </w:r>
            <w:r>
              <w:rPr>
                <w:rFonts w:hint="eastAsia" w:ascii="Times New Roman" w:hAnsi="Times New Roman" w:eastAsia="宋体" w:cs="Times New Roman"/>
                <w:sz w:val="21"/>
                <w:szCs w:val="21"/>
                <w:lang w:val="en-US" w:eastAsia="zh-CN"/>
              </w:rPr>
              <w:t>管理层、</w:t>
            </w:r>
            <w:r>
              <w:rPr>
                <w:rFonts w:hint="eastAsia"/>
                <w:sz w:val="21"/>
                <w:szCs w:val="21"/>
              </w:rPr>
              <w:t>党政办公室</w:t>
            </w:r>
            <w:r>
              <w:rPr>
                <w:rFonts w:hint="eastAsia"/>
                <w:sz w:val="21"/>
                <w:szCs w:val="21"/>
                <w:lang w:eastAsia="zh-CN"/>
              </w:rPr>
              <w:t>、</w:t>
            </w:r>
            <w:r>
              <w:rPr>
                <w:rFonts w:hint="eastAsia"/>
                <w:sz w:val="21"/>
                <w:szCs w:val="21"/>
              </w:rPr>
              <w:t>财务管理部</w:t>
            </w:r>
            <w:r>
              <w:rPr>
                <w:rFonts w:hint="eastAsia"/>
                <w:sz w:val="21"/>
                <w:szCs w:val="21"/>
                <w:lang w:eastAsia="zh-CN"/>
              </w:rPr>
              <w:t>、</w:t>
            </w:r>
            <w:r>
              <w:rPr>
                <w:rFonts w:hint="eastAsia"/>
                <w:sz w:val="21"/>
                <w:szCs w:val="21"/>
              </w:rPr>
              <w:t>购销管理部</w:t>
            </w:r>
            <w:r>
              <w:rPr>
                <w:rFonts w:hint="eastAsia"/>
                <w:sz w:val="21"/>
                <w:szCs w:val="21"/>
                <w:lang w:eastAsia="zh-CN"/>
              </w:rPr>
              <w:t>、</w:t>
            </w:r>
            <w:r>
              <w:rPr>
                <w:rFonts w:hint="eastAsia"/>
                <w:sz w:val="21"/>
                <w:szCs w:val="21"/>
              </w:rPr>
              <w:t>质量工艺技术部</w:t>
            </w:r>
            <w:r>
              <w:rPr>
                <w:rFonts w:hint="eastAsia"/>
                <w:sz w:val="21"/>
                <w:szCs w:val="21"/>
                <w:lang w:eastAsia="zh-CN"/>
              </w:rPr>
              <w:t>、</w:t>
            </w:r>
            <w:r>
              <w:rPr>
                <w:rFonts w:hint="eastAsia"/>
                <w:sz w:val="21"/>
                <w:szCs w:val="21"/>
              </w:rPr>
              <w:t>安全环保部</w:t>
            </w:r>
            <w:r>
              <w:rPr>
                <w:rFonts w:hint="eastAsia"/>
                <w:sz w:val="21"/>
                <w:szCs w:val="21"/>
                <w:lang w:eastAsia="zh-CN"/>
              </w:rPr>
              <w:t>、</w:t>
            </w:r>
            <w:r>
              <w:rPr>
                <w:rFonts w:hint="eastAsia"/>
                <w:sz w:val="21"/>
                <w:szCs w:val="21"/>
              </w:rPr>
              <w:t>设备能源部</w:t>
            </w:r>
            <w:r>
              <w:rPr>
                <w:rFonts w:hint="eastAsia"/>
                <w:sz w:val="21"/>
                <w:szCs w:val="21"/>
                <w:lang w:eastAsia="zh-CN"/>
              </w:rPr>
              <w:t>、</w:t>
            </w:r>
            <w:r>
              <w:rPr>
                <w:rFonts w:hint="eastAsia"/>
                <w:sz w:val="21"/>
                <w:szCs w:val="21"/>
                <w:highlight w:val="none"/>
                <w:lang w:eastAsia="zh-CN"/>
              </w:rPr>
              <w:t>生产技术部、</w:t>
            </w:r>
            <w:r>
              <w:rPr>
                <w:rFonts w:hint="eastAsia"/>
                <w:sz w:val="21"/>
                <w:szCs w:val="21"/>
              </w:rPr>
              <w:t>生产车间</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sz w:val="21"/>
                <w:szCs w:val="21"/>
              </w:rPr>
              <w:t>质量工艺技术部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sz w:val="21"/>
                <w:szCs w:val="21"/>
              </w:rPr>
              <w:t>质量工艺技术部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sz w:val="21"/>
                <w:szCs w:val="21"/>
              </w:rPr>
              <w:t>安全环保部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sz w:val="21"/>
                <w:szCs w:val="21"/>
              </w:rPr>
              <w:t>安全环保部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宋体"/>
                <w:b/>
                <w:color w:val="000000"/>
                <w:sz w:val="20"/>
                <w:szCs w:val="20"/>
              </w:rPr>
              <w:t>西宁经济技术开发区甘河工业园区</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lang w:eastAsia="zh-CN"/>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lang w:eastAsia="zh-CN"/>
              </w:rPr>
              <w:t>☑</w:t>
            </w:r>
            <w:r>
              <w:rPr>
                <w:rFonts w:hint="eastAsia" w:ascii="宋体" w:hAnsi="宋体"/>
                <w:color w:val="000000"/>
                <w:sz w:val="20"/>
                <w:szCs w:val="20"/>
              </w:rPr>
              <w:t>有□无</w:t>
            </w:r>
          </w:p>
          <w:p>
            <w:pPr>
              <w:tabs>
                <w:tab w:val="left" w:pos="360"/>
              </w:tabs>
              <w:ind w:left="357" w:hanging="357"/>
              <w:rPr>
                <w:rFonts w:hint="default" w:ascii="宋体" w:eastAsia="宋体"/>
                <w:b/>
                <w:color w:val="000000"/>
                <w:sz w:val="20"/>
                <w:szCs w:val="20"/>
                <w:lang w:val="en-US" w:eastAsia="zh-CN"/>
              </w:rPr>
            </w:pPr>
            <w:r>
              <w:rPr>
                <w:rFonts w:hint="eastAsia" w:ascii="宋体" w:hAnsi="宋体"/>
                <w:b/>
                <w:color w:val="000000"/>
                <w:sz w:val="20"/>
                <w:szCs w:val="20"/>
              </w:rPr>
              <w:t>如有，请描述具体现场：</w:t>
            </w:r>
            <w:r>
              <w:rPr>
                <w:rFonts w:hint="eastAsia" w:ascii="宋体" w:hAnsi="宋体"/>
                <w:b w:val="0"/>
                <w:bCs/>
                <w:color w:val="000000"/>
                <w:sz w:val="20"/>
                <w:szCs w:val="20"/>
                <w:lang w:val="en-US" w:eastAsia="zh-CN"/>
              </w:rPr>
              <w:t>在受审核方的北面有西部矿业锌业公司。</w:t>
            </w:r>
          </w:p>
          <w:p>
            <w:pPr>
              <w:tabs>
                <w:tab w:val="left" w:pos="360"/>
              </w:tabs>
              <w:ind w:left="357" w:hanging="357"/>
              <w:rPr>
                <w:rFonts w:ascii="宋体"/>
                <w:b/>
                <w:color w:val="000000"/>
                <w:sz w:val="24"/>
              </w:rPr>
            </w:pPr>
          </w:p>
        </w:tc>
      </w:tr>
    </w:tbl>
    <w:p>
      <w:pPr>
        <w:spacing w:before="156"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hAnsi="宋体"/>
                <w:color w:val="000000"/>
                <w:sz w:val="20"/>
                <w:szCs w:val="20"/>
              </w:rPr>
              <w:t>有</w:t>
            </w:r>
            <w:r>
              <w:rPr>
                <w:rFonts w:hint="eastAsia" w:ascii="宋体" w:hAnsi="宋体"/>
                <w:color w:val="000000"/>
                <w:sz w:val="20"/>
                <w:szCs w:val="20"/>
                <w:lang w:val="en-US" w:eastAsia="zh-CN"/>
              </w:rPr>
              <w:t>几</w:t>
            </w:r>
            <w:r>
              <w:rPr>
                <w:rFonts w:hint="eastAsia" w:ascii="宋体" w:hAnsi="宋体"/>
                <w:color w:val="000000"/>
                <w:sz w:val="20"/>
                <w:szCs w:val="20"/>
              </w:rPr>
              <w:t>种产品，规格型号种有条生产线</w:t>
            </w:r>
            <w:r>
              <w:rPr>
                <w:rFonts w:hint="eastAsia" w:ascii="宋体" w:hAnsi="宋体"/>
                <w:color w:val="000000"/>
                <w:sz w:val="20"/>
                <w:szCs w:val="20"/>
                <w:lang w:eastAsia="zh-CN"/>
              </w:rPr>
              <w:t>：</w:t>
            </w:r>
            <w:r>
              <w:rPr>
                <w:rFonts w:hint="eastAsia" w:ascii="宋体" w:hAnsi="宋体"/>
                <w:color w:val="000000"/>
                <w:sz w:val="20"/>
                <w:szCs w:val="20"/>
                <w:lang w:val="en-US" w:eastAsia="zh-CN"/>
              </w:rPr>
              <w:t>有三种产品、两条生产线。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lang w:eastAsia="zh-CN"/>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eastAsia="宋体" w:cs="Times New Roman"/>
                <w:color w:val="000000"/>
                <w:spacing w:val="-10"/>
                <w:sz w:val="20"/>
                <w:szCs w:val="20"/>
                <w:lang w:val="en-US" w:eastAsia="zh-CN"/>
              </w:rPr>
            </w:pPr>
            <w:r>
              <w:rPr>
                <w:rFonts w:hint="eastAsia" w:ascii="宋体" w:hAnsi="宋体" w:eastAsia="宋体" w:cs="Times New Roman"/>
                <w:color w:val="000000"/>
                <w:spacing w:val="-10"/>
                <w:sz w:val="20"/>
                <w:szCs w:val="20"/>
                <w:lang w:val="en-US" w:eastAsia="zh-CN"/>
              </w:rPr>
              <w:t>☑产品技术标准号：□合同：</w:t>
            </w:r>
            <w:r>
              <w:rPr>
                <w:rFonts w:hint="default" w:ascii="宋体" w:hAnsi="宋体" w:eastAsia="宋体" w:cs="Times New Roman"/>
                <w:color w:val="000000"/>
                <w:spacing w:val="-10"/>
                <w:sz w:val="20"/>
                <w:szCs w:val="20"/>
                <w:lang w:val="en-US" w:eastAsia="zh-CN"/>
              </w:rPr>
              <w:fldChar w:fldCharType="begin"/>
            </w:r>
            <w:r>
              <w:rPr>
                <w:rFonts w:hint="default" w:ascii="宋体" w:hAnsi="宋体" w:eastAsia="宋体" w:cs="Times New Roman"/>
                <w:color w:val="000000"/>
                <w:spacing w:val="-10"/>
                <w:sz w:val="20"/>
                <w:szCs w:val="20"/>
                <w:lang w:val="en-US" w:eastAsia="zh-CN"/>
              </w:rPr>
              <w:instrText xml:space="preserve"> HYPERLINK "https://www.so.com/link?m=bsKD0GIwtqrwWKV7qXUiBB1AJZvblJh9biSumDXMWoWmHAgbxKP8hAkTLMS8rtfAffgisvBaUJYyNz/Eb9NM2kvMpttDKlISdKHaJz92+oVSFCeyf1jZY/TODAUpGcklXkBlh9vmfKllqLZJWCYLV29kUfGbvhAAZ2egbFGzGj4r5xUgAGC2o9+CTTiPd/7Rm5DkruUm/7C86wdFcjeAUwQp35UqSR5omqNeTPYjSaPJ23mt6" \t "https://www.so.com/_blank" </w:instrText>
            </w:r>
            <w:r>
              <w:rPr>
                <w:rFonts w:hint="default" w:ascii="宋体" w:hAnsi="宋体" w:eastAsia="宋体" w:cs="Times New Roman"/>
                <w:color w:val="000000"/>
                <w:spacing w:val="-10"/>
                <w:sz w:val="20"/>
                <w:szCs w:val="20"/>
                <w:lang w:val="en-US" w:eastAsia="zh-CN"/>
              </w:rPr>
              <w:fldChar w:fldCharType="separate"/>
            </w:r>
            <w:r>
              <w:rPr>
                <w:rFonts w:hint="default" w:ascii="宋体" w:hAnsi="宋体" w:eastAsia="宋体" w:cs="Times New Roman"/>
                <w:color w:val="000000"/>
                <w:spacing w:val="-10"/>
                <w:sz w:val="20"/>
                <w:szCs w:val="20"/>
                <w:lang w:val="en-US" w:eastAsia="zh-CN"/>
              </w:rPr>
              <w:t>GB-T 6890-2012 锌粉-国家标准</w:t>
            </w:r>
            <w:r>
              <w:rPr>
                <w:rFonts w:hint="default" w:ascii="宋体" w:hAnsi="宋体" w:eastAsia="宋体" w:cs="Times New Roman"/>
                <w:color w:val="000000"/>
                <w:spacing w:val="-10"/>
                <w:sz w:val="20"/>
                <w:szCs w:val="20"/>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FF0000"/>
                <w:sz w:val="20"/>
                <w:szCs w:val="20"/>
              </w:rPr>
            </w:pPr>
            <w:r>
              <w:rPr>
                <w:rFonts w:hint="eastAsia" w:ascii="宋体"/>
                <w:color w:val="000000"/>
                <w:sz w:val="20"/>
                <w:szCs w:val="20"/>
              </w:rPr>
              <w:t>是否有排污许可证</w:t>
            </w:r>
            <w:r>
              <w:rPr>
                <w:rFonts w:hint="eastAsia" w:ascii="宋体"/>
                <w:color w:val="000000"/>
                <w:sz w:val="20"/>
                <w:szCs w:val="20"/>
                <w:lang w:eastAsia="zh-CN"/>
              </w:rPr>
              <w:t>☑</w:t>
            </w:r>
            <w:r>
              <w:rPr>
                <w:rFonts w:hint="eastAsia" w:ascii="宋体"/>
                <w:color w:val="000000"/>
                <w:sz w:val="20"/>
                <w:szCs w:val="20"/>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FF0000"/>
                <w:sz w:val="20"/>
                <w:szCs w:val="20"/>
              </w:rPr>
            </w:pPr>
            <w:r>
              <w:rPr>
                <w:rFonts w:hint="eastAsia" w:ascii="宋体"/>
                <w:color w:val="000000"/>
                <w:sz w:val="20"/>
                <w:szCs w:val="20"/>
              </w:rPr>
              <w:t>是否提供近期环境监测报告</w:t>
            </w:r>
            <w:r>
              <w:rPr>
                <w:rFonts w:hint="eastAsia" w:ascii="宋体"/>
                <w:color w:val="000000"/>
                <w:sz w:val="20"/>
                <w:szCs w:val="20"/>
                <w:lang w:eastAsia="zh-CN"/>
              </w:rPr>
              <w:t>☑</w:t>
            </w:r>
            <w:r>
              <w:rPr>
                <w:rFonts w:hint="eastAsia" w:ascii="宋体"/>
                <w:color w:val="000000"/>
                <w:sz w:val="20"/>
                <w:szCs w:val="20"/>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FF0000"/>
                <w:sz w:val="20"/>
                <w:szCs w:val="20"/>
              </w:rPr>
            </w:pPr>
            <w:r>
              <w:rPr>
                <w:rFonts w:hint="eastAsia" w:ascii="宋体"/>
                <w:color w:val="000000"/>
                <w:sz w:val="20"/>
                <w:szCs w:val="20"/>
              </w:rPr>
              <w:t>是否有安全预评价报告，</w:t>
            </w:r>
            <w:r>
              <w:rPr>
                <w:rFonts w:hint="eastAsia" w:ascii="宋体"/>
                <w:color w:val="000000"/>
                <w:sz w:val="20"/>
                <w:szCs w:val="20"/>
                <w:lang w:eastAsia="zh-CN"/>
              </w:rPr>
              <w:t>☑</w:t>
            </w:r>
            <w:r>
              <w:rPr>
                <w:rFonts w:hint="eastAsia" w:ascii="宋体"/>
                <w:color w:val="000000"/>
                <w:sz w:val="20"/>
                <w:szCs w:val="20"/>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是否有安全现状评价报告，□是□否□不适用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是否有消防验收报告</w:t>
            </w:r>
            <w:r>
              <w:rPr>
                <w:rFonts w:hint="eastAsia" w:ascii="宋体"/>
                <w:color w:val="000000"/>
                <w:sz w:val="20"/>
                <w:szCs w:val="20"/>
                <w:lang w:eastAsia="zh-CN"/>
              </w:rPr>
              <w:t>☑</w:t>
            </w:r>
            <w:r>
              <w:rPr>
                <w:rFonts w:hint="eastAsia" w:ascii="宋体"/>
                <w:color w:val="000000"/>
                <w:sz w:val="20"/>
                <w:szCs w:val="20"/>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是否申报职业危害场所□是□否□不适用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drawing>
                <wp:inline distT="0" distB="0" distL="114300" distR="114300">
                  <wp:extent cx="4576445" cy="1470660"/>
                  <wp:effectExtent l="0" t="0" r="825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576445" cy="147066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Times New Roman" w:hAnsi="Times New Roman" w:eastAsia="宋体" w:cs="Times New Roman"/>
                <w:color w:val="000000"/>
                <w:szCs w:val="22"/>
                <w:u w:val="single"/>
                <w:lang w:val="en-US" w:eastAsia="zh-CN"/>
              </w:rPr>
              <w:t>富氧侧吹熔炼、电炉还原熔炼</w:t>
            </w:r>
            <w:r>
              <w:rPr>
                <w:rFonts w:hint="eastAsia" w:ascii="宋体" w:hAns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测吹规程、电炉还原焙炼规程。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widowControl/>
              <w:spacing w:before="40"/>
              <w:jc w:val="left"/>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color w:val="000000"/>
                <w:u w:val="single"/>
                <w:lang w:val="en-US" w:eastAsia="zh-CN"/>
              </w:rPr>
              <w:t>起重机、储气罐、胶带输送机、侧吹熔炼炉、烟化炉、气罐</w:t>
            </w:r>
            <w:r>
              <w:rPr>
                <w:color w:val="000000"/>
                <w:u w:val="single"/>
              </w:rPr>
              <w:t xml:space="preserve"> </w:t>
            </w:r>
            <w:r>
              <w:rPr>
                <w:rFonts w:hint="eastAsia"/>
                <w:color w:val="000000"/>
                <w:u w:val="single"/>
                <w:lang w:val="en-US" w:eastAsia="zh-CN"/>
              </w:rPr>
              <w:t>、风机、制酸系统等</w:t>
            </w:r>
            <w:r>
              <w:rPr>
                <w:color w:val="000000"/>
                <w:u w:val="single"/>
              </w:rPr>
              <w:t xml:space="preserve"> </w:t>
            </w:r>
            <w:r>
              <w:rPr>
                <w:rFonts w:hint="eastAsia" w:ascii="宋体" w:hAnsi="宋体"/>
                <w:color w:val="000000"/>
                <w:spacing w:val="-1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特种设备：</w:t>
            </w:r>
            <w:r>
              <w:rPr>
                <w:rFonts w:hint="eastAsia"/>
                <w:color w:val="000000"/>
                <w:szCs w:val="21"/>
                <w:lang w:eastAsia="zh-CN"/>
              </w:rPr>
              <w:t>☑</w:t>
            </w:r>
            <w:r>
              <w:rPr>
                <w:rFonts w:hint="eastAsia"/>
                <w:color w:val="000000"/>
                <w:szCs w:val="21"/>
              </w:rPr>
              <w:t>起重机械；</w:t>
            </w:r>
            <w:r>
              <w:rPr>
                <w:rFonts w:hint="eastAsia"/>
                <w:color w:val="000000"/>
                <w:szCs w:val="21"/>
                <w:lang w:eastAsia="zh-CN"/>
              </w:rPr>
              <w:t>☑</w:t>
            </w:r>
            <w:r>
              <w:rPr>
                <w:rFonts w:hint="eastAsia"/>
                <w:color w:val="000000"/>
                <w:szCs w:val="21"/>
              </w:rPr>
              <w:t>压力容器；</w:t>
            </w:r>
            <w:r>
              <w:rPr>
                <w:rFonts w:hint="eastAsia"/>
                <w:color w:val="000000"/>
                <w:szCs w:val="21"/>
                <w:lang w:eastAsia="zh-CN"/>
              </w:rPr>
              <w:t>☑</w:t>
            </w:r>
            <w:r>
              <w:rPr>
                <w:rFonts w:hint="eastAsia"/>
                <w:color w:val="000000"/>
                <w:szCs w:val="21"/>
              </w:rPr>
              <w:t>压力管道；</w:t>
            </w:r>
            <w:r>
              <w:rPr>
                <w:rFonts w:hint="eastAsia"/>
                <w:color w:val="000000"/>
                <w:szCs w:val="21"/>
                <w:lang w:eastAsia="zh-CN"/>
              </w:rPr>
              <w:t>☑</w:t>
            </w:r>
            <w:r>
              <w:rPr>
                <w:rFonts w:hint="eastAsia"/>
                <w:color w:val="000000"/>
                <w:szCs w:val="21"/>
              </w:rPr>
              <w:t>锅炉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宋体" w:hAnsi="宋体" w:eastAsia="宋体" w:cs="宋体"/>
                <w:b w:val="0"/>
                <w:bCs/>
                <w:sz w:val="24"/>
                <w:szCs w:val="24"/>
                <w:highlight w:val="none"/>
              </w:rPr>
              <w:t>有</w:t>
            </w:r>
            <w:r>
              <w:rPr>
                <w:rFonts w:hint="eastAsia" w:ascii="宋体" w:hAnsi="宋体" w:eastAsia="宋体" w:cs="宋体"/>
                <w:sz w:val="24"/>
                <w:szCs w:val="24"/>
                <w:highlight w:val="none"/>
                <w:lang w:eastAsia="zh-CN"/>
              </w:rPr>
              <w:t>分析天平、管式炉、恒温干燥箱、微机定硫仪、离子计量、量热仪等检验仪器</w:t>
            </w:r>
            <w:r>
              <w:rPr>
                <w:rFonts w:hint="eastAsia" w:ascii="宋体" w:hAnsi="宋体" w:eastAsia="宋体" w:cs="宋体"/>
                <w:b w:val="0"/>
                <w:bCs/>
                <w:sz w:val="24"/>
                <w:szCs w:val="24"/>
                <w:highlight w:val="none"/>
              </w:rPr>
              <w:t>等，状态均为正常，满足产品生产过程的监视和测量需求</w:t>
            </w:r>
            <w:r>
              <w:rPr>
                <w:rFonts w:hint="eastAsia" w:ascii="宋体" w:hAnsi="宋体" w:eastAsia="宋体" w:cs="宋体"/>
                <w:b w:val="0"/>
                <w:bCs/>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b w:val="0"/>
                <w:bCs/>
                <w:szCs w:val="22"/>
              </w:rPr>
              <w:t>噪声；粉尘排放；固体废物；火灾发生；水、电、原材料消耗。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CO中毒应急预案、电炉停电应急预案、天车停电应急预案。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ind w:firstLine="400" w:firstLineChars="200"/>
              <w:rPr>
                <w:rFonts w:ascii="宋体"/>
                <w:color w:val="000000"/>
                <w:sz w:val="20"/>
                <w:szCs w:val="20"/>
              </w:rPr>
            </w:pPr>
            <w:r>
              <w:rPr>
                <w:rFonts w:hint="eastAsia" w:ascii="宋体"/>
                <w:color w:val="000000"/>
                <w:sz w:val="20"/>
                <w:szCs w:val="20"/>
              </w:rPr>
              <w:t>不可接受风险有：</w:t>
            </w:r>
            <w:r>
              <w:rPr>
                <w:rFonts w:hint="eastAsia"/>
                <w:b w:val="0"/>
                <w:bCs/>
                <w:szCs w:val="22"/>
              </w:rPr>
              <w:t>机械伤害</w:t>
            </w:r>
            <w:r>
              <w:rPr>
                <w:rFonts w:hint="eastAsia"/>
                <w:b w:val="0"/>
                <w:bCs/>
                <w:szCs w:val="22"/>
                <w:lang w:eastAsia="zh-CN"/>
              </w:rPr>
              <w:t>、</w:t>
            </w:r>
            <w:r>
              <w:rPr>
                <w:rFonts w:hint="eastAsia"/>
                <w:b w:val="0"/>
                <w:bCs/>
                <w:szCs w:val="22"/>
              </w:rPr>
              <w:t>触电伤害 （检修、设备运行等</w:t>
            </w:r>
            <w:r>
              <w:rPr>
                <w:rFonts w:hint="eastAsia"/>
                <w:b w:val="0"/>
                <w:bCs/>
                <w:szCs w:val="22"/>
                <w:lang w:eastAsia="zh-CN"/>
              </w:rPr>
              <w:t>、</w:t>
            </w:r>
            <w:r>
              <w:rPr>
                <w:rFonts w:hint="eastAsia"/>
                <w:b w:val="0"/>
                <w:bCs/>
                <w:szCs w:val="22"/>
              </w:rPr>
              <w:t>高处坠落</w:t>
            </w:r>
            <w:r>
              <w:rPr>
                <w:rFonts w:hint="eastAsia"/>
                <w:b w:val="0"/>
                <w:bCs/>
                <w:szCs w:val="22"/>
                <w:lang w:eastAsia="zh-CN"/>
              </w:rPr>
              <w:t>、</w:t>
            </w:r>
            <w:r>
              <w:rPr>
                <w:rFonts w:hint="eastAsia"/>
                <w:b w:val="0"/>
                <w:bCs/>
                <w:szCs w:val="22"/>
              </w:rPr>
              <w:t>职业病伤害</w:t>
            </w:r>
            <w:r>
              <w:rPr>
                <w:rFonts w:hint="eastAsia"/>
                <w:b w:val="0"/>
                <w:bCs/>
                <w:szCs w:val="22"/>
                <w:lang w:eastAsia="zh-CN"/>
              </w:rPr>
              <w:t>、</w:t>
            </w:r>
            <w:r>
              <w:rPr>
                <w:rFonts w:hint="eastAsia"/>
                <w:b w:val="0"/>
                <w:bCs/>
                <w:szCs w:val="22"/>
              </w:rPr>
              <w:t>火灾爆炸</w:t>
            </w:r>
            <w:r>
              <w:rPr>
                <w:rFonts w:hint="eastAsia"/>
                <w:b w:val="0"/>
                <w:bCs/>
                <w:szCs w:val="22"/>
                <w:lang w:eastAsia="zh-CN"/>
              </w:rPr>
              <w:t>、</w:t>
            </w:r>
            <w:r>
              <w:rPr>
                <w:rFonts w:hint="eastAsia"/>
                <w:b w:val="0"/>
                <w:bCs/>
                <w:szCs w:val="22"/>
                <w:lang w:val="en-US" w:eastAsia="zh-CN"/>
              </w:rPr>
              <w:t>中毒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272</w:t>
            </w:r>
            <w:r>
              <w:rPr>
                <w:rFonts w:hint="eastAsia" w:ascii="宋体"/>
                <w:color w:val="000000"/>
                <w:sz w:val="20"/>
                <w:szCs w:val="20"/>
              </w:rPr>
              <w:t>人，其中管理人员：</w:t>
            </w:r>
            <w:r>
              <w:rPr>
                <w:rFonts w:hint="eastAsia" w:ascii="宋体"/>
                <w:color w:val="000000"/>
                <w:sz w:val="20"/>
                <w:szCs w:val="20"/>
                <w:lang w:val="en-US" w:eastAsia="zh-CN"/>
              </w:rPr>
              <w:t>28</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jc w:val="both"/>
              <w:rPr>
                <w:rFonts w:ascii="宋体"/>
                <w:b/>
                <w:color w:val="000000"/>
                <w:sz w:val="20"/>
                <w:szCs w:val="20"/>
              </w:rPr>
            </w:pPr>
            <w:r>
              <w:rPr>
                <w:rFonts w:hint="eastAsia" w:ascii="宋体" w:hAnsi="宋体"/>
                <w:b/>
                <w:color w:val="000000"/>
                <w:sz w:val="20"/>
                <w:szCs w:val="20"/>
              </w:rPr>
              <w:t>重点审核部门：</w:t>
            </w:r>
            <w:r>
              <w:rPr>
                <w:rFonts w:hint="eastAsia"/>
                <w:sz w:val="21"/>
                <w:szCs w:val="21"/>
              </w:rPr>
              <w:t>质量工艺技术部</w:t>
            </w:r>
            <w:r>
              <w:rPr>
                <w:rFonts w:hint="eastAsia"/>
                <w:sz w:val="21"/>
                <w:szCs w:val="21"/>
                <w:highlight w:val="none"/>
                <w:lang w:eastAsia="zh-CN"/>
              </w:rPr>
              <w:t>、</w:t>
            </w:r>
            <w:r>
              <w:rPr>
                <w:rFonts w:hint="eastAsia"/>
                <w:sz w:val="21"/>
                <w:szCs w:val="21"/>
              </w:rPr>
              <w:t>生产车间</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eastAsia="宋体"/>
                <w:sz w:val="21"/>
                <w:szCs w:val="21"/>
                <w:lang w:val="en-US" w:eastAsia="zh-CN"/>
              </w:rPr>
              <w:t>富氧测吹熔炼规程、电炉还原熔炼过程。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eastAsia="宋体"/>
                <w:sz w:val="21"/>
                <w:szCs w:val="21"/>
                <w:lang w:val="en-US" w:eastAsia="zh-CN"/>
              </w:rPr>
              <w:t>熔炼车间、锌粉车间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sz w:val="21"/>
                <w:szCs w:val="21"/>
              </w:rPr>
            </w:pPr>
            <w:r>
              <w:rPr>
                <w:rFonts w:hint="eastAsia" w:ascii="宋体" w:hAnsi="宋体"/>
                <w:b/>
                <w:color w:val="000000"/>
                <w:sz w:val="20"/>
                <w:szCs w:val="20"/>
              </w:rPr>
              <w:t>重点审核部门：</w:t>
            </w:r>
            <w:r>
              <w:rPr>
                <w:rFonts w:hint="eastAsia" w:eastAsia="宋体"/>
                <w:sz w:val="21"/>
                <w:szCs w:val="21"/>
                <w:lang w:val="en-US" w:eastAsia="zh-CN"/>
              </w:rPr>
              <w:t>安全环保部、</w:t>
            </w:r>
            <w:r>
              <w:rPr>
                <w:rFonts w:hint="eastAsia"/>
                <w:sz w:val="21"/>
                <w:szCs w:val="21"/>
              </w:rPr>
              <w:t>生产车间</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eastAsia="宋体"/>
                <w:sz w:val="21"/>
                <w:szCs w:val="21"/>
                <w:lang w:val="en-US" w:eastAsia="zh-CN"/>
              </w:rPr>
              <w:t>熔炼车间、锌粉车间</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eastAsia="宋体"/>
                <w:sz w:val="21"/>
                <w:szCs w:val="21"/>
                <w:lang w:val="en-US" w:eastAsia="zh-CN"/>
              </w:rPr>
              <w:t>安全环保部、</w:t>
            </w:r>
            <w:r>
              <w:rPr>
                <w:rFonts w:hint="eastAsia"/>
                <w:sz w:val="21"/>
                <w:szCs w:val="21"/>
              </w:rPr>
              <w:t>生产车间</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eastAsia="宋体"/>
                <w:sz w:val="21"/>
                <w:szCs w:val="21"/>
                <w:lang w:val="en-US" w:eastAsia="zh-CN"/>
              </w:rPr>
              <w:t>安全环保部、</w:t>
            </w:r>
            <w:r>
              <w:rPr>
                <w:rFonts w:hint="eastAsia"/>
                <w:sz w:val="21"/>
                <w:szCs w:val="21"/>
              </w:rPr>
              <w:t>生产车间</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eastAsia="宋体" w:cs="Times New Roman"/>
                <w:sz w:val="24"/>
                <w:szCs w:val="22"/>
                <w:lang w:val="en-US" w:eastAsia="zh-CN"/>
              </w:rPr>
              <w:t>编制了《2020年度内部审核计划》预计审核时间2020.8.30、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jc w:val="left"/>
              <w:outlineLvl w:val="2"/>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eastAsia="宋体" w:cs="Times New Roman"/>
                <w:sz w:val="24"/>
                <w:szCs w:val="22"/>
                <w:lang w:val="en-US" w:eastAsia="zh-CN"/>
              </w:rPr>
              <w:t>范围覆盖体系内的所有部门，内审员人3名、组长罗贞、 抽查内审员李小军培训或资质基本有效；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了解内审结论是什么？</w:t>
            </w:r>
            <w:r>
              <w:rPr>
                <w:rFonts w:hint="eastAsia" w:ascii="宋体" w:hAnsi="宋体" w:eastAsia="宋体" w:cs="Times New Roman"/>
                <w:sz w:val="24"/>
                <w:szCs w:val="22"/>
                <w:lang w:val="en-US" w:eastAsia="zh-CN"/>
              </w:rPr>
              <w:t>满足标准的要求。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eastAsia="宋体" w:cs="Times New Roman"/>
                <w:sz w:val="24"/>
                <w:szCs w:val="22"/>
                <w:lang w:val="en-US" w:eastAsia="zh-CN"/>
              </w:rPr>
              <w:t>提供《管评计划》日期2020.11.15、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eastAsia="宋体" w:cs="Times New Roman"/>
                <w:sz w:val="24"/>
                <w:szCs w:val="22"/>
                <w:lang w:val="en-US" w:eastAsia="zh-CN"/>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eastAsia="宋体" w:cs="Times New Roman"/>
                <w:sz w:val="24"/>
                <w:szCs w:val="22"/>
                <w:lang w:val="en-US" w:eastAsia="zh-CN"/>
              </w:rPr>
              <w:t>管理体系的适宜性、充分性和有效性——基本满足标准的要求，组织的持续改进绩效明显；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spacing w:line="260" w:lineRule="exact"/>
              <w:rPr>
                <w:rFonts w:hint="eastAsia" w:ascii="宋体" w:hAnsi="宋体" w:eastAsia="宋体" w:cs="Times New Roman"/>
                <w:sz w:val="24"/>
                <w:szCs w:val="22"/>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eastAsia="宋体" w:cs="Times New Roman"/>
                <w:sz w:val="24"/>
                <w:szCs w:val="22"/>
                <w:lang w:val="en-US" w:eastAsia="zh-CN"/>
              </w:rPr>
              <w:t>受审核方的管理层关注内部审核和管理评审，但还需要持续改进，提高内审和管评的实效性。</w:t>
            </w:r>
          </w:p>
          <w:p>
            <w:pPr>
              <w:spacing w:line="260" w:lineRule="exact"/>
              <w:rPr>
                <w:rFonts w:ascii="宋体"/>
                <w:b/>
                <w:color w:val="000000"/>
                <w:szCs w:val="21"/>
              </w:rPr>
            </w:pPr>
            <w:r>
              <w:rPr>
                <w:rFonts w:hint="eastAsia" w:ascii="宋体" w:hAnsi="宋体" w:eastAsia="宋体" w:cs="Times New Roman"/>
                <w:sz w:val="24"/>
                <w:szCs w:val="22"/>
                <w:lang w:val="en-US" w:eastAsia="zh-CN"/>
              </w:rPr>
              <w:t>已经为二阶段做好准备。</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0" w:firstLineChars="100"/>
        <w:rPr>
          <w:rFonts w:ascii="宋体"/>
          <w:b/>
          <w:bCs/>
          <w:color w:val="000000"/>
          <w:sz w:val="26"/>
          <w:szCs w:val="26"/>
        </w:rPr>
      </w:pPr>
      <w:r>
        <w:rPr>
          <w:rFonts w:hint="eastAsia" w:ascii="宋体" w:hAnsi="宋体"/>
        </w:rPr>
        <w:drawing>
          <wp:anchor distT="0" distB="0" distL="114300" distR="114300" simplePos="0" relativeHeight="251659264" behindDoc="0" locked="0" layoutInCell="1" allowOverlap="1">
            <wp:simplePos x="0" y="0"/>
            <wp:positionH relativeFrom="column">
              <wp:posOffset>1931035</wp:posOffset>
            </wp:positionH>
            <wp:positionV relativeFrom="page">
              <wp:posOffset>9455785</wp:posOffset>
            </wp:positionV>
            <wp:extent cx="480695" cy="427990"/>
            <wp:effectExtent l="0" t="0" r="1905" b="3810"/>
            <wp:wrapSquare wrapText="bothSides"/>
            <wp:docPr id="3" name="图片 2"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553999692(1)"/>
                    <pic:cNvPicPr>
                      <a:picLocks noChangeAspect="1"/>
                    </pic:cNvPicPr>
                  </pic:nvPicPr>
                  <pic:blipFill>
                    <a:blip r:embed="rId7">
                      <a:lum bright="35999"/>
                    </a:blip>
                    <a:stretch>
                      <a:fillRect/>
                    </a:stretch>
                  </pic:blipFill>
                  <pic:spPr>
                    <a:xfrm>
                      <a:off x="0" y="0"/>
                      <a:ext cx="480695" cy="42799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default" w:ascii="宋体" w:eastAsia="宋体"/>
          <w:b/>
          <w:color w:val="000000"/>
          <w:lang w:val="en-US"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 xml:space="preserve">         </w:t>
      </w:r>
      <w:r>
        <w:drawing>
          <wp:anchor distT="0" distB="0" distL="114300" distR="114300" simplePos="0" relativeHeight="251660288" behindDoc="0" locked="0" layoutInCell="1" allowOverlap="1">
            <wp:simplePos x="0" y="0"/>
            <wp:positionH relativeFrom="column">
              <wp:posOffset>2527935</wp:posOffset>
            </wp:positionH>
            <wp:positionV relativeFrom="paragraph">
              <wp:posOffset>-139700</wp:posOffset>
            </wp:positionV>
            <wp:extent cx="501650" cy="336550"/>
            <wp:effectExtent l="0" t="0" r="6350" b="6350"/>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stretch>
                      <a:fillRect/>
                    </a:stretch>
                  </pic:blipFill>
                  <pic:spPr>
                    <a:xfrm>
                      <a:off x="0" y="0"/>
                      <a:ext cx="501650" cy="336550"/>
                    </a:xfrm>
                    <a:prstGeom prst="rect">
                      <a:avLst/>
                    </a:prstGeom>
                    <a:noFill/>
                    <a:ln>
                      <a:noFill/>
                    </a:ln>
                  </pic:spPr>
                </pic:pic>
              </a:graphicData>
            </a:graphic>
          </wp:anchor>
        </w:drawing>
      </w:r>
      <w:r>
        <w:rPr>
          <w:rFonts w:hint="eastAsia" w:ascii="宋体" w:hAnsi="宋体"/>
          <w:b/>
          <w:color w:val="000000"/>
          <w:lang w:val="en-US" w:eastAsia="zh-CN"/>
        </w:rPr>
        <w:t xml:space="preserve">                    </w:t>
      </w:r>
      <w:r>
        <w:drawing>
          <wp:anchor distT="0" distB="0" distL="114300" distR="114300" simplePos="0" relativeHeight="251662336" behindDoc="0" locked="0" layoutInCell="1" allowOverlap="1">
            <wp:simplePos x="0" y="0"/>
            <wp:positionH relativeFrom="column">
              <wp:posOffset>3759835</wp:posOffset>
            </wp:positionH>
            <wp:positionV relativeFrom="paragraph">
              <wp:posOffset>-88900</wp:posOffset>
            </wp:positionV>
            <wp:extent cx="533400" cy="292100"/>
            <wp:effectExtent l="0" t="0" r="0" b="0"/>
            <wp:wrapSquare wrapText="bothSides"/>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9"/>
                    <a:stretch>
                      <a:fillRect/>
                    </a:stretch>
                  </pic:blipFill>
                  <pic:spPr>
                    <a:xfrm>
                      <a:off x="0" y="0"/>
                      <a:ext cx="533400" cy="292100"/>
                    </a:xfrm>
                    <a:prstGeom prst="rect">
                      <a:avLst/>
                    </a:prstGeom>
                    <a:noFill/>
                    <a:ln>
                      <a:noFill/>
                    </a:ln>
                  </pic:spPr>
                </pic:pic>
              </a:graphicData>
            </a:graphic>
          </wp:anchor>
        </w:drawing>
      </w:r>
      <w:r>
        <w:rPr>
          <w:rFonts w:hint="eastAsia" w:ascii="宋体" w:hAnsi="宋体"/>
          <w:b/>
          <w:color w:val="000000"/>
          <w:lang w:val="en-US" w:eastAsia="zh-CN"/>
        </w:rPr>
        <w:t xml:space="preserve">    </w:t>
      </w:r>
      <w:r>
        <w:drawing>
          <wp:anchor distT="0" distB="0" distL="114300" distR="114300" simplePos="0" relativeHeight="251661312" behindDoc="0" locked="0" layoutInCell="1" allowOverlap="1">
            <wp:simplePos x="0" y="0"/>
            <wp:positionH relativeFrom="column">
              <wp:posOffset>3150235</wp:posOffset>
            </wp:positionH>
            <wp:positionV relativeFrom="paragraph">
              <wp:posOffset>-114300</wp:posOffset>
            </wp:positionV>
            <wp:extent cx="495300" cy="317500"/>
            <wp:effectExtent l="0" t="0" r="0" b="0"/>
            <wp:wrapSquare wrapText="bothSides"/>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0"/>
                    <a:stretch>
                      <a:fillRect/>
                    </a:stretch>
                  </pic:blipFill>
                  <pic:spPr>
                    <a:xfrm>
                      <a:off x="0" y="0"/>
                      <a:ext cx="495300" cy="317500"/>
                    </a:xfrm>
                    <a:prstGeom prst="rect">
                      <a:avLst/>
                    </a:prstGeom>
                    <a:noFill/>
                    <a:ln>
                      <a:noFill/>
                    </a:ln>
                  </pic:spPr>
                </pic:pic>
              </a:graphicData>
            </a:graphic>
          </wp:anchor>
        </w:drawing>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2021.3.28</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bookmarkStart w:id="24" w:name="_GoBack"/>
      <w:bookmarkEnd w:id="24"/>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6"/>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6"/>
        <w:rFonts w:hint="default"/>
        <w:w w:val="90"/>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520A87"/>
    <w:rsid w:val="37B57DF8"/>
    <w:rsid w:val="6C1F7C25"/>
    <w:rsid w:val="72D017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locked/>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ind w:left="538"/>
    </w:pPr>
    <w:rPr>
      <w:sz w:val="28"/>
      <w:szCs w:val="28"/>
    </w:rPr>
  </w:style>
  <w:style w:type="paragraph" w:styleId="4">
    <w:name w:val="Balloon Text"/>
    <w:basedOn w:val="1"/>
    <w:link w:val="12"/>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批注框文本 字符"/>
    <w:link w:val="4"/>
    <w:semiHidden/>
    <w:locked/>
    <w:uiPriority w:val="99"/>
    <w:rPr>
      <w:rFonts w:ascii="Times New Roman" w:hAnsi="Times New Roman" w:eastAsia="宋体" w:cs="Times New Roman"/>
      <w:sz w:val="18"/>
      <w:szCs w:val="18"/>
    </w:rPr>
  </w:style>
  <w:style w:type="character" w:customStyle="1" w:styleId="13">
    <w:name w:val="页脚 字符"/>
    <w:link w:val="5"/>
    <w:locked/>
    <w:uiPriority w:val="99"/>
    <w:rPr>
      <w:rFonts w:ascii="Times New Roman" w:hAnsi="Times New Roman" w:eastAsia="宋体" w:cs="Times New Roman"/>
      <w:sz w:val="18"/>
      <w:szCs w:val="18"/>
    </w:rPr>
  </w:style>
  <w:style w:type="character" w:customStyle="1" w:styleId="14">
    <w:name w:val="页眉 字符"/>
    <w:link w:val="6"/>
    <w:qFormat/>
    <w:locked/>
    <w:uiPriority w:val="99"/>
    <w:rPr>
      <w:rFonts w:ascii="Calibri" w:hAnsi="Calibri" w:eastAsia="宋体" w:cs="Times New Roman"/>
      <w:sz w:val="18"/>
      <w:szCs w:val="18"/>
    </w:rPr>
  </w:style>
  <w:style w:type="character" w:customStyle="1" w:styleId="15">
    <w:name w:val="副标题 字符"/>
    <w:link w:val="7"/>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2021-03-27T16:06:22Z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B1F68B3AE9224A2FB0AC0B796BCD542A</vt:lpwstr>
  </property>
</Properties>
</file>