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十堰捷恒工贸有限公司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hint="default" w:ascii="宋体" w:hAnsi="宋体" w:eastAsia="宋体"/>
                <w:b/>
                <w:color w:val="000000" w:themeColor="text1"/>
                <w:sz w:val="20"/>
                <w:szCs w:val="20"/>
                <w:lang w:val="en-US" w:eastAsia="zh-CN"/>
              </w:rPr>
            </w:pPr>
            <w:r>
              <w:rPr>
                <w:rFonts w:hint="eastAsia" w:ascii="宋体" w:cs="宋体" w:hAnsiTheme="minorHAnsi"/>
                <w:color w:val="000000" w:themeColor="text1"/>
                <w:kern w:val="0"/>
                <w:sz w:val="20"/>
                <w:szCs w:val="20"/>
              </w:rPr>
              <w:t>第二阶段审核：</w:t>
            </w:r>
            <w:r>
              <w:rPr>
                <w:rFonts w:hint="eastAsia" w:ascii="宋体" w:cs="宋体" w:hAnsiTheme="minorHAnsi"/>
                <w:color w:val="000000" w:themeColor="text1"/>
                <w:kern w:val="0"/>
                <w:sz w:val="20"/>
                <w:szCs w:val="20"/>
                <w:lang w:val="en-US" w:eastAsia="zh-CN"/>
              </w:rPr>
              <w:t>补充现场审核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w:t>
            </w:r>
            <w:r>
              <w:rPr>
                <w:rFonts w:hint="eastAsia" w:ascii="宋体" w:cs="宋体" w:hAnsiTheme="minorHAnsi"/>
                <w:color w:val="000000" w:themeColor="text1"/>
                <w:kern w:val="0"/>
                <w:sz w:val="20"/>
                <w:szCs w:val="20"/>
                <w:lang w:val="en-US" w:eastAsia="zh-CN"/>
              </w:rPr>
              <w:t>继续</w:t>
            </w:r>
            <w:r>
              <w:rPr>
                <w:rFonts w:hint="eastAsia" w:ascii="宋体" w:cs="宋体" w:hAnsiTheme="minorHAnsi"/>
                <w:color w:val="000000" w:themeColor="text1"/>
                <w:kern w:val="0"/>
                <w:sz w:val="20"/>
                <w:szCs w:val="20"/>
              </w:rPr>
              <w:t>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p>
    <w:p>
      <w:pPr>
        <w:ind w:firstLine="2088" w:firstLineChars="800"/>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十堰捷恒工贸有限公司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十堰市汉江南路34号(制管厂办公楼)</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442000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十堰市汉江南路34号(制管厂办公楼)</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442000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刘为刚</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0719-8210869</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刘为刚</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张小霞</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冲压件、齿轮的销售</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29.12.00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2019-07-15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管理层</w:t>
            </w:r>
          </w:p>
        </w:tc>
        <w:tc>
          <w:tcPr>
            <w:tcW w:w="6804" w:type="dxa"/>
          </w:tcPr>
          <w:p>
            <w:pPr>
              <w:jc w:val="left"/>
              <w:rPr>
                <w:rFonts w:ascii="宋体" w:hAnsi="宋体"/>
                <w:b/>
                <w:color w:val="000000" w:themeColor="text1"/>
                <w:spacing w:val="-20"/>
                <w:sz w:val="20"/>
                <w:szCs w:val="20"/>
                <w:u w:val="single"/>
              </w:rPr>
            </w:pPr>
            <w:r>
              <w:rPr>
                <w:rFonts w:hint="eastAsia" w:ascii="楷体" w:hAnsi="楷体" w:eastAsia="楷体" w:cs="楷体"/>
                <w:sz w:val="21"/>
                <w:szCs w:val="21"/>
              </w:rPr>
              <w:t>4.1-6.3</w:t>
            </w:r>
            <w:r>
              <w:rPr>
                <w:rFonts w:hint="eastAsia" w:ascii="楷体" w:hAnsi="楷体" w:eastAsia="楷体" w:cs="楷体"/>
                <w:sz w:val="21"/>
                <w:szCs w:val="21"/>
                <w:lang w:val="en-US" w:eastAsia="zh-CN"/>
              </w:rPr>
              <w:t>/</w:t>
            </w:r>
            <w:r>
              <w:rPr>
                <w:rFonts w:hint="eastAsia" w:ascii="楷体" w:hAnsi="楷体" w:eastAsia="楷体" w:cs="楷体"/>
                <w:sz w:val="21"/>
                <w:szCs w:val="21"/>
              </w:rPr>
              <w:t>7.1.1</w:t>
            </w:r>
            <w:r>
              <w:rPr>
                <w:rFonts w:hint="eastAsia" w:ascii="楷体" w:hAnsi="楷体" w:eastAsia="楷体" w:cs="楷体"/>
                <w:sz w:val="21"/>
                <w:szCs w:val="21"/>
                <w:lang w:val="en-US" w:eastAsia="zh-CN"/>
              </w:rPr>
              <w:t>/</w:t>
            </w:r>
            <w:r>
              <w:rPr>
                <w:rFonts w:hint="eastAsia" w:ascii="楷体" w:hAnsi="楷体" w:eastAsia="楷体" w:cs="楷体"/>
                <w:sz w:val="21"/>
                <w:szCs w:val="21"/>
              </w:rPr>
              <w:t>7.4</w:t>
            </w:r>
            <w:r>
              <w:rPr>
                <w:rFonts w:hint="eastAsia" w:ascii="楷体" w:hAnsi="楷体" w:eastAsia="楷体" w:cs="楷体"/>
                <w:sz w:val="21"/>
                <w:szCs w:val="21"/>
                <w:lang w:val="en-US" w:eastAsia="zh-CN"/>
              </w:rPr>
              <w:t>/</w:t>
            </w:r>
            <w:r>
              <w:rPr>
                <w:rFonts w:hint="eastAsia" w:ascii="楷体" w:hAnsi="楷体" w:eastAsia="楷体" w:cs="楷体"/>
                <w:sz w:val="21"/>
                <w:szCs w:val="21"/>
              </w:rPr>
              <w:t>9.1</w:t>
            </w:r>
            <w:r>
              <w:rPr>
                <w:rFonts w:hint="eastAsia" w:ascii="楷体" w:hAnsi="楷体" w:eastAsia="楷体" w:cs="楷体"/>
                <w:sz w:val="21"/>
                <w:szCs w:val="21"/>
                <w:lang w:val="en-US" w:eastAsia="zh-CN"/>
              </w:rPr>
              <w:t>.</w:t>
            </w:r>
            <w:r>
              <w:rPr>
                <w:rFonts w:hint="eastAsia" w:ascii="楷体" w:hAnsi="楷体" w:eastAsia="楷体" w:cs="楷体"/>
                <w:sz w:val="21"/>
                <w:szCs w:val="21"/>
              </w:rPr>
              <w:t>1</w:t>
            </w:r>
            <w:r>
              <w:rPr>
                <w:rFonts w:hint="eastAsia" w:ascii="楷体" w:hAnsi="楷体" w:eastAsia="楷体" w:cs="楷体"/>
                <w:sz w:val="21"/>
                <w:szCs w:val="21"/>
                <w:lang w:val="en-US" w:eastAsia="zh-CN"/>
              </w:rPr>
              <w:t>/</w:t>
            </w:r>
            <w:r>
              <w:rPr>
                <w:rFonts w:hint="eastAsia" w:ascii="楷体" w:hAnsi="楷体" w:eastAsia="楷体" w:cs="楷体"/>
                <w:sz w:val="21"/>
                <w:szCs w:val="21"/>
              </w:rPr>
              <w:t>9.3</w:t>
            </w:r>
            <w:r>
              <w:rPr>
                <w:rFonts w:hint="eastAsia" w:ascii="楷体" w:hAnsi="楷体" w:eastAsia="楷体" w:cs="楷体"/>
                <w:sz w:val="21"/>
                <w:szCs w:val="21"/>
                <w:lang w:val="en-US" w:eastAsia="zh-CN"/>
              </w:rPr>
              <w:t>/</w:t>
            </w:r>
            <w:r>
              <w:rPr>
                <w:rFonts w:hint="eastAsia" w:ascii="楷体" w:hAnsi="楷体" w:eastAsia="楷体" w:cs="楷体"/>
                <w:sz w:val="21"/>
                <w:szCs w:val="21"/>
              </w:rPr>
              <w:t>10.1</w:t>
            </w:r>
            <w:r>
              <w:rPr>
                <w:rFonts w:hint="eastAsia" w:ascii="楷体" w:hAnsi="楷体" w:eastAsia="楷体" w:cs="楷体"/>
                <w:sz w:val="21"/>
                <w:szCs w:val="21"/>
                <w:lang w:val="en-US" w:eastAsia="zh-CN"/>
              </w:rPr>
              <w:t>/</w:t>
            </w:r>
            <w:r>
              <w:rPr>
                <w:rFonts w:hint="eastAsia" w:ascii="楷体" w:hAnsi="楷体" w:eastAsia="楷体" w:cs="楷体"/>
                <w:sz w:val="21"/>
                <w:szCs w:val="21"/>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办公室</w:t>
            </w:r>
          </w:p>
        </w:tc>
        <w:tc>
          <w:tcPr>
            <w:tcW w:w="6804" w:type="dxa"/>
            <w:vAlign w:val="top"/>
          </w:tcPr>
          <w:p>
            <w:pPr>
              <w:jc w:val="left"/>
              <w:rPr>
                <w:rFonts w:hint="eastAsia" w:ascii="楷体" w:hAnsi="楷体" w:eastAsia="楷体" w:cs="楷体"/>
                <w:b/>
                <w:bCs/>
                <w:kern w:val="2"/>
                <w:sz w:val="21"/>
                <w:szCs w:val="21"/>
                <w:lang w:val="en-US" w:eastAsia="zh-CN" w:bidi="ar-SA"/>
              </w:rPr>
            </w:pPr>
            <w:r>
              <w:rPr>
                <w:rFonts w:hint="eastAsia" w:ascii="楷体" w:hAnsi="楷体" w:eastAsia="楷体" w:cs="楷体"/>
                <w:sz w:val="21"/>
                <w:szCs w:val="21"/>
              </w:rPr>
              <w:t>5.3</w:t>
            </w:r>
            <w:r>
              <w:rPr>
                <w:rFonts w:hint="eastAsia" w:ascii="楷体" w:hAnsi="楷体" w:eastAsia="楷体" w:cs="楷体"/>
                <w:sz w:val="21"/>
                <w:szCs w:val="21"/>
                <w:lang w:val="en-US" w:eastAsia="zh-CN"/>
              </w:rPr>
              <w:t>/</w:t>
            </w:r>
            <w:r>
              <w:rPr>
                <w:rFonts w:hint="eastAsia" w:ascii="楷体" w:hAnsi="楷体" w:eastAsia="楷体" w:cs="楷体"/>
                <w:sz w:val="21"/>
                <w:szCs w:val="21"/>
              </w:rPr>
              <w:t>6.2</w:t>
            </w:r>
            <w:r>
              <w:rPr>
                <w:rFonts w:hint="eastAsia" w:ascii="楷体" w:hAnsi="楷体" w:eastAsia="楷体" w:cs="楷体"/>
                <w:sz w:val="21"/>
                <w:szCs w:val="21"/>
                <w:lang w:val="en-US" w:eastAsia="zh-CN"/>
              </w:rPr>
              <w:t>/</w:t>
            </w:r>
            <w:r>
              <w:rPr>
                <w:rFonts w:hint="eastAsia" w:ascii="楷体" w:hAnsi="楷体" w:eastAsia="楷体" w:cs="楷体"/>
                <w:sz w:val="21"/>
                <w:szCs w:val="21"/>
              </w:rPr>
              <w:t xml:space="preserve">7.1.2 </w:t>
            </w:r>
            <w:r>
              <w:rPr>
                <w:rFonts w:hint="eastAsia" w:ascii="楷体" w:hAnsi="楷体" w:eastAsia="楷体" w:cs="楷体"/>
                <w:sz w:val="21"/>
                <w:szCs w:val="21"/>
                <w:lang w:val="en-US" w:eastAsia="zh-CN"/>
              </w:rPr>
              <w:t>/</w:t>
            </w:r>
            <w:r>
              <w:rPr>
                <w:rFonts w:hint="eastAsia" w:ascii="楷体" w:hAnsi="楷体" w:eastAsia="楷体" w:cs="楷体"/>
                <w:sz w:val="21"/>
                <w:szCs w:val="21"/>
              </w:rPr>
              <w:t xml:space="preserve">9.1.1 </w:t>
            </w:r>
            <w:r>
              <w:rPr>
                <w:rFonts w:hint="eastAsia" w:ascii="楷体" w:hAnsi="楷体" w:eastAsia="楷体" w:cs="楷体"/>
                <w:sz w:val="21"/>
                <w:szCs w:val="21"/>
                <w:lang w:val="en-US" w:eastAsia="zh-CN"/>
              </w:rPr>
              <w:t>/</w:t>
            </w:r>
            <w:r>
              <w:rPr>
                <w:rFonts w:hint="eastAsia" w:ascii="楷体" w:hAnsi="楷体" w:eastAsia="楷体" w:cs="楷体"/>
                <w:sz w:val="21"/>
                <w:szCs w:val="21"/>
              </w:rPr>
              <w:t>9.1.3</w:t>
            </w:r>
            <w:r>
              <w:rPr>
                <w:rFonts w:hint="eastAsia" w:ascii="楷体" w:hAnsi="楷体" w:eastAsia="楷体" w:cs="楷体"/>
                <w:sz w:val="21"/>
                <w:szCs w:val="21"/>
                <w:lang w:val="en-US" w:eastAsia="zh-CN"/>
              </w:rPr>
              <w:t>/</w:t>
            </w:r>
            <w:r>
              <w:rPr>
                <w:rFonts w:hint="eastAsia" w:ascii="楷体" w:hAnsi="楷体" w:eastAsia="楷体" w:cs="楷体"/>
                <w:sz w:val="21"/>
                <w:szCs w:val="21"/>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销售部</w:t>
            </w:r>
          </w:p>
        </w:tc>
        <w:tc>
          <w:tcPr>
            <w:tcW w:w="6804" w:type="dxa"/>
          </w:tcPr>
          <w:p>
            <w:pPr>
              <w:jc w:val="center"/>
              <w:rPr>
                <w:rFonts w:ascii="宋体" w:hAnsi="宋体"/>
                <w:b/>
                <w:color w:val="000000" w:themeColor="text1"/>
                <w:spacing w:val="-20"/>
                <w:sz w:val="20"/>
                <w:szCs w:val="20"/>
                <w:u w:val="single"/>
              </w:rPr>
            </w:pPr>
            <w:r>
              <w:rPr>
                <w:rFonts w:hint="eastAsia" w:ascii="楷体" w:hAnsi="楷体" w:eastAsia="楷体" w:cs="楷体"/>
                <w:sz w:val="21"/>
                <w:szCs w:val="21"/>
              </w:rPr>
              <w:t>5.3</w:t>
            </w:r>
            <w:r>
              <w:rPr>
                <w:rFonts w:hint="eastAsia" w:ascii="楷体" w:hAnsi="楷体" w:eastAsia="楷体" w:cs="楷体"/>
                <w:sz w:val="21"/>
                <w:szCs w:val="21"/>
                <w:lang w:val="en-US" w:eastAsia="zh-CN"/>
              </w:rPr>
              <w:t>/</w:t>
            </w:r>
            <w:r>
              <w:rPr>
                <w:rFonts w:hint="eastAsia" w:ascii="楷体" w:hAnsi="楷体" w:eastAsia="楷体" w:cs="楷体"/>
                <w:sz w:val="21"/>
                <w:szCs w:val="21"/>
              </w:rPr>
              <w:t>6.2</w:t>
            </w:r>
            <w:r>
              <w:rPr>
                <w:rFonts w:hint="eastAsia" w:ascii="楷体" w:hAnsi="楷体" w:eastAsia="楷体" w:cs="楷体"/>
                <w:sz w:val="21"/>
                <w:szCs w:val="21"/>
                <w:lang w:val="en-US" w:eastAsia="zh-CN"/>
              </w:rPr>
              <w:t>/</w:t>
            </w:r>
            <w:r>
              <w:rPr>
                <w:rFonts w:hint="eastAsia" w:ascii="楷体" w:hAnsi="楷体" w:eastAsia="楷体" w:cs="楷体"/>
                <w:sz w:val="21"/>
                <w:szCs w:val="21"/>
              </w:rPr>
              <w:t xml:space="preserve">7.1.3- 7.1.5 </w:t>
            </w:r>
            <w:r>
              <w:rPr>
                <w:rFonts w:hint="eastAsia" w:ascii="楷体" w:hAnsi="楷体" w:eastAsia="楷体" w:cs="楷体"/>
                <w:sz w:val="21"/>
                <w:szCs w:val="21"/>
                <w:lang w:val="en-US" w:eastAsia="zh-CN"/>
              </w:rPr>
              <w:t>/</w:t>
            </w:r>
            <w:r>
              <w:rPr>
                <w:rFonts w:hint="eastAsia" w:ascii="楷体" w:hAnsi="楷体" w:eastAsia="楷体" w:cs="楷体"/>
                <w:sz w:val="21"/>
                <w:szCs w:val="21"/>
              </w:rPr>
              <w:t xml:space="preserve"> 8.1 </w:t>
            </w:r>
            <w:r>
              <w:rPr>
                <w:rFonts w:hint="eastAsia" w:ascii="楷体" w:hAnsi="楷体" w:eastAsia="楷体" w:cs="楷体"/>
                <w:sz w:val="21"/>
                <w:szCs w:val="21"/>
                <w:lang w:val="en-US" w:eastAsia="zh-CN"/>
              </w:rPr>
              <w:t>/</w:t>
            </w:r>
            <w:r>
              <w:rPr>
                <w:rFonts w:hint="eastAsia" w:ascii="楷体" w:hAnsi="楷体" w:eastAsia="楷体" w:cs="楷体"/>
                <w:sz w:val="21"/>
                <w:szCs w:val="21"/>
              </w:rPr>
              <w:t xml:space="preserve">8.2 </w:t>
            </w:r>
            <w:r>
              <w:rPr>
                <w:rFonts w:hint="eastAsia" w:ascii="楷体" w:hAnsi="楷体" w:eastAsia="楷体" w:cs="楷体"/>
                <w:sz w:val="21"/>
                <w:szCs w:val="21"/>
                <w:lang w:val="en-US" w:eastAsia="zh-CN"/>
              </w:rPr>
              <w:t>/8.4/</w:t>
            </w:r>
            <w:r>
              <w:rPr>
                <w:rFonts w:hint="eastAsia" w:ascii="楷体" w:hAnsi="楷体" w:eastAsia="楷体" w:cs="楷体"/>
                <w:sz w:val="21"/>
                <w:szCs w:val="21"/>
              </w:rPr>
              <w:t>8.5</w:t>
            </w:r>
            <w:r>
              <w:rPr>
                <w:rFonts w:hint="eastAsia" w:ascii="楷体" w:hAnsi="楷体" w:eastAsia="楷体" w:cs="楷体"/>
                <w:sz w:val="21"/>
                <w:szCs w:val="21"/>
                <w:lang w:val="en-US" w:eastAsia="zh-CN"/>
              </w:rPr>
              <w:t>.1/</w:t>
            </w:r>
            <w:r>
              <w:rPr>
                <w:rFonts w:hint="eastAsia" w:ascii="楷体" w:hAnsi="楷体" w:eastAsia="楷体" w:cs="楷体"/>
                <w:sz w:val="21"/>
                <w:szCs w:val="21"/>
              </w:rPr>
              <w:t xml:space="preserve">8.6 </w:t>
            </w:r>
            <w:r>
              <w:rPr>
                <w:rFonts w:hint="eastAsia" w:ascii="楷体" w:hAnsi="楷体" w:eastAsia="楷体" w:cs="楷体"/>
                <w:sz w:val="21"/>
                <w:szCs w:val="21"/>
                <w:lang w:val="en-US" w:eastAsia="zh-CN"/>
              </w:rPr>
              <w:t>/</w:t>
            </w:r>
            <w:r>
              <w:rPr>
                <w:rFonts w:hint="eastAsia" w:ascii="楷体" w:hAnsi="楷体" w:eastAsia="楷体" w:cs="楷体"/>
                <w:sz w:val="21"/>
                <w:szCs w:val="21"/>
              </w:rPr>
              <w:t>8.7</w:t>
            </w:r>
            <w:r>
              <w:rPr>
                <w:rFonts w:hint="eastAsia" w:ascii="楷体" w:hAnsi="楷体" w:eastAsia="楷体" w:cs="楷体"/>
                <w:sz w:val="21"/>
                <w:szCs w:val="21"/>
                <w:lang w:val="en-US" w:eastAsia="zh-CN"/>
              </w:rPr>
              <w:t>/</w:t>
            </w:r>
            <w:r>
              <w:rPr>
                <w:rFonts w:hint="eastAsia" w:ascii="楷体" w:hAnsi="楷体" w:eastAsia="楷体" w:cs="楷体"/>
                <w:sz w:val="21"/>
                <w:szCs w:val="21"/>
              </w:rPr>
              <w:t xml:space="preserve"> 9.1.2 </w:t>
            </w:r>
            <w:r>
              <w:rPr>
                <w:rFonts w:hint="eastAsia" w:ascii="楷体" w:hAnsi="楷体" w:eastAsia="楷体" w:cs="楷体"/>
                <w:sz w:val="21"/>
                <w:szCs w:val="21"/>
                <w:lang w:val="en-US" w:eastAsia="zh-CN"/>
              </w:rPr>
              <w:t>/</w:t>
            </w:r>
            <w:r>
              <w:rPr>
                <w:rFonts w:hint="eastAsia" w:ascii="楷体" w:hAnsi="楷体" w:eastAsia="楷体" w:cs="楷体"/>
                <w:sz w:val="21"/>
                <w:szCs w:val="21"/>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冲压件、齿轮的销售</w:t>
            </w:r>
          </w:p>
        </w:tc>
        <w:tc>
          <w:tcPr>
            <w:tcW w:w="2519" w:type="dxa"/>
            <w:vAlign w:val="top"/>
          </w:tcPr>
          <w:p>
            <w:pPr>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销售服务</w:t>
            </w:r>
          </w:p>
        </w:tc>
        <w:tc>
          <w:tcPr>
            <w:tcW w:w="1843" w:type="dxa"/>
            <w:vAlign w:val="top"/>
          </w:tcPr>
          <w:p>
            <w:pPr>
              <w:rPr>
                <w:rFonts w:ascii="Times New Roman" w:hAnsi="Times New Roman" w:eastAsia="宋体" w:cs="Times New Roman"/>
                <w:b/>
                <w:color w:val="000000" w:themeColor="text1"/>
                <w:kern w:val="2"/>
                <w:sz w:val="20"/>
                <w:szCs w:val="20"/>
                <w:lang w:val="en-US" w:eastAsia="zh-CN" w:bidi="ar-SA"/>
              </w:rPr>
            </w:pPr>
          </w:p>
        </w:tc>
        <w:tc>
          <w:tcPr>
            <w:tcW w:w="3543" w:type="dxa"/>
            <w:vAlign w:val="top"/>
          </w:tcPr>
          <w:p>
            <w:pPr>
              <w:rPr>
                <w:rFonts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国家法律法规、标准要求、客户要求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rFonts w:hint="eastAsia"/>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体系运行开始的2019年7月</w:t>
      </w:r>
      <w:bookmarkStart w:id="20" w:name="OLE_LINK1"/>
      <w:r>
        <w:rPr>
          <w:rFonts w:hint="eastAsia"/>
          <w:b/>
          <w:color w:val="000000" w:themeColor="text1"/>
          <w:spacing w:val="-10"/>
          <w:szCs w:val="21"/>
        </w:rPr>
        <w:t>15日</w:t>
      </w:r>
      <w:bookmarkEnd w:id="20"/>
      <w:r>
        <w:rPr>
          <w:rFonts w:hint="eastAsia"/>
          <w:b/>
          <w:color w:val="000000" w:themeColor="text1"/>
          <w:spacing w:val="-10"/>
          <w:szCs w:val="21"/>
        </w:rPr>
        <w:t>至2020年10月3日。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lang w:eastAsia="zh-CN"/>
        </w:rPr>
        <w:t>☑</w:t>
      </w:r>
      <w:r>
        <w:rPr>
          <w:rFonts w:hint="eastAsia"/>
          <w:b/>
          <w:color w:val="000000" w:themeColor="text1"/>
          <w:spacing w:val="-10"/>
          <w:szCs w:val="21"/>
        </w:rPr>
        <w:t>上次审核时间</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10</w:t>
      </w:r>
      <w:r>
        <w:rPr>
          <w:rFonts w:hint="eastAsia"/>
          <w:b/>
          <w:color w:val="000000" w:themeColor="text1"/>
          <w:spacing w:val="-10"/>
          <w:szCs w:val="21"/>
        </w:rPr>
        <w:t>月</w:t>
      </w:r>
      <w:r>
        <w:rPr>
          <w:rFonts w:hint="eastAsia"/>
          <w:b/>
          <w:color w:val="000000" w:themeColor="text1"/>
          <w:spacing w:val="-10"/>
          <w:szCs w:val="21"/>
          <w:lang w:val="en-US" w:eastAsia="zh-CN"/>
        </w:rPr>
        <w:t>3</w:t>
      </w:r>
      <w:r>
        <w:rPr>
          <w:rFonts w:hint="eastAsia"/>
          <w:b/>
          <w:color w:val="000000" w:themeColor="text1"/>
          <w:spacing w:val="-10"/>
          <w:szCs w:val="21"/>
        </w:rPr>
        <w:t>日至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r>
        <w:rPr>
          <w:rFonts w:hint="eastAsia"/>
          <w:b/>
          <w:color w:val="000000" w:themeColor="text1"/>
          <w:spacing w:val="-10"/>
          <w:szCs w:val="21"/>
          <w:lang w:val="en-US" w:eastAsia="zh-CN"/>
        </w:rPr>
        <w:t>20</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公司通过多种来源获得内外部因素的信息，包括国家和国际新闻、网站、行业协会等。</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管理层识别、确定了与战略、目标相关、影响实现管理体系预期结果的内、外部因素，并且实时关注、评审不断变化的内外部信息。</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企业识别内部环境因素和对策主要有：外部环境：竞争对手、顾客要求、法律环境、.行业前景等</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内部环境：公司制度、.员工质量意识、知识积累、.绩效、资源环境、人力环境等</w:t>
            </w:r>
          </w:p>
          <w:p>
            <w:pPr>
              <w:spacing w:line="240" w:lineRule="exact"/>
              <w:rPr>
                <w:b/>
                <w:color w:val="000000" w:themeColor="text1"/>
                <w:sz w:val="20"/>
                <w:szCs w:val="20"/>
              </w:rPr>
            </w:pPr>
            <w:r>
              <w:rPr>
                <w:rFonts w:hint="eastAsia" w:ascii="楷体" w:hAnsi="楷体" w:eastAsia="楷体" w:cs="楷体"/>
                <w:bCs/>
                <w:color w:val="000000" w:themeColor="text1"/>
                <w:sz w:val="21"/>
                <w:szCs w:val="21"/>
              </w:rPr>
              <w:t>对组织内外部环境进行了识别，环境识别充分、有效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2"/>
              </w:numPr>
              <w:spacing w:line="240" w:lineRule="exact"/>
              <w:rPr>
                <w:b/>
                <w:color w:val="000000" w:themeColor="text1"/>
                <w:sz w:val="20"/>
                <w:szCs w:val="20"/>
              </w:rPr>
            </w:pPr>
            <w:r>
              <w:rPr>
                <w:rFonts w:hint="eastAsia"/>
                <w:b/>
                <w:color w:val="000000" w:themeColor="text1"/>
                <w:sz w:val="20"/>
                <w:szCs w:val="20"/>
              </w:rPr>
              <w:t>相关方需求和期望识别情况</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企业明确了影响企业绩效或受到企业经营影响的相关：如客户、供应商、员工等，通过调查、访谈了解相关方的需求和期望。通过回访、网站等渠道获取相关方的信息，并持续与相关方沟通，了解相关方要求。</w:t>
            </w:r>
          </w:p>
          <w:p>
            <w:pPr>
              <w:spacing w:line="240" w:lineRule="exact"/>
              <w:rPr>
                <w:b/>
                <w:color w:val="000000" w:themeColor="text1"/>
                <w:sz w:val="20"/>
                <w:szCs w:val="20"/>
              </w:rPr>
            </w:pPr>
            <w:r>
              <w:rPr>
                <w:rFonts w:hint="eastAsia" w:ascii="楷体" w:hAnsi="楷体" w:eastAsia="楷体" w:cs="楷体"/>
                <w:bCs/>
                <w:color w:val="000000" w:themeColor="text1"/>
                <w:sz w:val="21"/>
                <w:szCs w:val="21"/>
              </w:rPr>
              <w:t>微信提供相关方列表，相关方需求识别充分，目前未发生相关方投诉事件。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ind w:left="199" w:leftChars="95"/>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企业策划并制定了质量方针：“</w:t>
            </w:r>
            <w:r>
              <w:rPr>
                <w:rFonts w:hint="eastAsia" w:ascii="楷体" w:hAnsi="楷体" w:eastAsia="楷体" w:cs="楷体"/>
                <w:bCs/>
                <w:color w:val="000000" w:themeColor="text1"/>
                <w:sz w:val="21"/>
                <w:szCs w:val="21"/>
                <w:lang w:val="en-GB"/>
              </w:rPr>
              <w:t>遵守法律法规   提供优质服务</w:t>
            </w:r>
            <w:r>
              <w:rPr>
                <w:rFonts w:hint="eastAsia" w:ascii="楷体" w:hAnsi="楷体" w:eastAsia="楷体" w:cs="楷体"/>
                <w:bCs/>
                <w:color w:val="000000" w:themeColor="text1"/>
                <w:sz w:val="21"/>
                <w:szCs w:val="21"/>
              </w:rPr>
              <w:t xml:space="preserve">   </w:t>
            </w:r>
            <w:r>
              <w:rPr>
                <w:rFonts w:hint="eastAsia" w:ascii="楷体" w:hAnsi="楷体" w:eastAsia="楷体" w:cs="楷体"/>
                <w:bCs/>
                <w:color w:val="000000" w:themeColor="text1"/>
                <w:sz w:val="21"/>
                <w:szCs w:val="21"/>
                <w:lang w:val="en-GB"/>
              </w:rPr>
              <w:t>坚持持续改进   满足顾客需求</w:t>
            </w:r>
            <w:r>
              <w:rPr>
                <w:rFonts w:hint="eastAsia" w:ascii="楷体" w:hAnsi="楷体" w:eastAsia="楷体" w:cs="楷体"/>
                <w:bCs/>
                <w:color w:val="000000" w:themeColor="text1"/>
                <w:sz w:val="21"/>
                <w:szCs w:val="21"/>
              </w:rPr>
              <w:t>”</w:t>
            </w:r>
          </w:p>
          <w:p>
            <w:pPr>
              <w:spacing w:line="240" w:lineRule="exact"/>
              <w:ind w:left="199" w:leftChars="95"/>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方针在质量手册中予以规定，经总经理批准实施。</w:t>
            </w:r>
          </w:p>
          <w:p>
            <w:pPr>
              <w:spacing w:line="240" w:lineRule="exact"/>
              <w:ind w:left="199" w:leftChars="95"/>
              <w:rPr>
                <w:b/>
                <w:color w:val="000000" w:themeColor="text1"/>
              </w:rPr>
            </w:pPr>
            <w:r>
              <w:rPr>
                <w:rFonts w:hint="eastAsia" w:ascii="楷体" w:hAnsi="楷体" w:eastAsia="楷体" w:cs="楷体"/>
                <w:bCs/>
                <w:color w:val="000000" w:themeColor="text1"/>
                <w:sz w:val="21"/>
                <w:szCs w:val="21"/>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2"/>
              </w:numPr>
              <w:spacing w:line="240" w:lineRule="exact"/>
              <w:rPr>
                <w:b/>
                <w:color w:val="000000" w:themeColor="text1"/>
              </w:rPr>
            </w:pPr>
            <w:r>
              <w:rPr>
                <w:rFonts w:hint="eastAsia"/>
                <w:b/>
                <w:color w:val="000000" w:themeColor="text1"/>
              </w:rPr>
              <w:t>风险识别与控制策划（QMS）</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企业通过识别与评价对公司目标和战略方向相关影响其实现质量管理体系预期结果的各种内外部环境因素，有效应对风险和机遇。针对质量风险与机遇，负责人组织人员对质量控制风险进行了识别、分析和评价，制定了相应措施。</w:t>
            </w:r>
          </w:p>
          <w:p>
            <w:pPr>
              <w:spacing w:line="240" w:lineRule="exact"/>
              <w:rPr>
                <w:b/>
                <w:color w:val="000000" w:themeColor="text1"/>
              </w:rPr>
            </w:pPr>
            <w:r>
              <w:rPr>
                <w:rFonts w:hint="eastAsia" w:ascii="楷体" w:hAnsi="楷体" w:eastAsia="楷体" w:cs="楷体"/>
                <w:bCs/>
                <w:color w:val="000000" w:themeColor="text1"/>
                <w:sz w:val="21"/>
                <w:szCs w:val="21"/>
              </w:rPr>
              <w:t>通过内审、管评、目标考核等来评价风险和机遇应对措施的有效性。微信提供风险和机遇应对措施表，公司的风险和机遇识别、控制基本符合要求.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180" w:hanging="180" w:hangingChars="100"/>
              <w:rPr>
                <w:rFonts w:ascii="宋体" w:hAnsi="宋体"/>
                <w:bCs/>
                <w:color w:val="000000" w:themeColor="text1"/>
                <w:sz w:val="18"/>
                <w:szCs w:val="18"/>
                <w:u w:val="single"/>
              </w:rPr>
            </w:pPr>
            <w:r>
              <w:rPr>
                <w:rFonts w:hint="eastAsia" w:ascii="宋体" w:hAnsi="宋体"/>
                <w:bCs/>
                <w:color w:val="000000" w:themeColor="text1"/>
                <w:sz w:val="18"/>
                <w:szCs w:val="18"/>
              </w:rPr>
              <w:t>质量管理体系过程有：策划过程、生产和服务过程、放行过程等</w:t>
            </w:r>
          </w:p>
          <w:p>
            <w:pPr>
              <w:tabs>
                <w:tab w:val="left" w:pos="540"/>
              </w:tabs>
              <w:spacing w:line="300" w:lineRule="exact"/>
              <w:ind w:left="180" w:hanging="180" w:hangingChars="100"/>
              <w:rPr>
                <w:rFonts w:hint="eastAsia" w:ascii="宋体" w:hAnsi="宋体"/>
                <w:bCs/>
                <w:color w:val="000000" w:themeColor="text1"/>
                <w:sz w:val="18"/>
                <w:szCs w:val="18"/>
                <w:u w:val="single"/>
              </w:rPr>
            </w:pPr>
            <w:r>
              <w:rPr>
                <w:rFonts w:hint="eastAsia" w:ascii="宋体" w:hAnsi="宋体"/>
                <w:bCs/>
                <w:color w:val="000000" w:themeColor="text1"/>
                <w:sz w:val="18"/>
                <w:szCs w:val="18"/>
              </w:rPr>
              <w:t>其中关键过程有</w:t>
            </w:r>
            <w:r>
              <w:rPr>
                <w:rFonts w:hint="eastAsia" w:ascii="宋体" w:hAnsi="宋体"/>
                <w:bCs/>
                <w:color w:val="000000" w:themeColor="text1"/>
                <w:sz w:val="18"/>
                <w:szCs w:val="18"/>
                <w:u w:val="single"/>
              </w:rPr>
              <w:t xml:space="preserve">   销售服务过程、采购过程     </w:t>
            </w:r>
          </w:p>
          <w:p>
            <w:pPr>
              <w:tabs>
                <w:tab w:val="left" w:pos="540"/>
              </w:tabs>
              <w:spacing w:line="300" w:lineRule="exact"/>
              <w:ind w:left="180" w:hanging="180" w:hangingChars="100"/>
              <w:rPr>
                <w:rFonts w:ascii="宋体" w:hAnsi="宋体"/>
                <w:bCs/>
                <w:color w:val="000000" w:themeColor="text1"/>
                <w:sz w:val="18"/>
                <w:szCs w:val="18"/>
                <w:u w:val="single"/>
              </w:rPr>
            </w:pPr>
            <w:r>
              <w:rPr>
                <w:rFonts w:hint="eastAsia" w:ascii="宋体" w:hAnsi="宋体"/>
                <w:bCs/>
                <w:color w:val="000000" w:themeColor="text1"/>
                <w:sz w:val="18"/>
                <w:szCs w:val="18"/>
              </w:rPr>
              <w:t>需要确认过程  ：销售服务过程</w:t>
            </w:r>
          </w:p>
          <w:p>
            <w:pPr>
              <w:tabs>
                <w:tab w:val="left" w:pos="540"/>
              </w:tabs>
              <w:spacing w:line="300" w:lineRule="exact"/>
              <w:ind w:left="211" w:hanging="180" w:hangingChars="100"/>
              <w:rPr>
                <w:rFonts w:ascii="宋体" w:hAnsi="宋体"/>
                <w:b/>
                <w:color w:val="000000" w:themeColor="text1"/>
                <w:szCs w:val="21"/>
              </w:rPr>
            </w:pPr>
            <w:r>
              <w:rPr>
                <w:bCs/>
                <w:color w:val="000000" w:themeColor="text1"/>
                <w:sz w:val="18"/>
                <w:szCs w:val="18"/>
              </w:rPr>
              <w:pict>
                <v:shape id="_x0000_s2050" o:spid="_x0000_s2050" o:spt="32" type="#_x0000_t32" style="position:absolute;left:0pt;margin-left:157.9pt;margin-top:12.75pt;height:0pt;width:261.75pt;z-index:251662336;mso-width-relative:page;mso-height-relative:page;" o:connectortype="straight" filled="f" coordsize="21600,21600">
                  <v:path arrowok="t"/>
                  <v:fill on="f" focussize="0,0"/>
                  <v:stroke/>
                  <v:imagedata o:title=""/>
                  <o:lock v:ext="edit"/>
                </v:shape>
              </w:pict>
            </w:r>
            <w:r>
              <w:rPr>
                <w:rFonts w:ascii="宋体" w:hAnsi="宋体"/>
                <w:bCs/>
                <w:color w:val="000000" w:themeColor="text1"/>
                <w:sz w:val="18"/>
                <w:szCs w:val="18"/>
              </w:rPr>
              <w:pict>
                <v:shape id="_x0000_s2051" o:spid="_x0000_s2051"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Cs/>
                <w:color w:val="000000" w:themeColor="text1"/>
                <w:sz w:val="18"/>
                <w:szCs w:val="18"/>
              </w:rPr>
              <w:t>不适用条款是   8.3     ，不适用理由：</w:t>
            </w:r>
            <w:r>
              <w:rPr>
                <w:rFonts w:hint="eastAsia" w:ascii="楷体" w:hAnsi="楷体" w:eastAsia="楷体" w:cs="楷体"/>
                <w:bCs/>
                <w:color w:val="000000" w:themeColor="text1"/>
                <w:sz w:val="21"/>
                <w:szCs w:val="21"/>
              </w:rPr>
              <w:t xml:space="preserve">企业是根据顾客要求进行采购、销售活动。销售产品、销售模式固定，确定本公司不涉及产品和服务的设计和开发，故对标准中的8.3条款的内容不适用。不适用后不影响组织提供满足顾客要求和适用法律法规要求的产品的能力或责任  </w:t>
            </w:r>
            <w:r>
              <w:rPr>
                <w:rFonts w:hint="eastAsia" w:ascii="宋体" w:hAnsi="宋体"/>
                <w:bCs/>
                <w:color w:val="000000" w:themeColor="text1"/>
                <w:sz w:val="18"/>
                <w:szCs w:val="18"/>
              </w:rPr>
              <w:t xml:space="preserve">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是</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顾客满意度≥95%；</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合同履约率100%</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20</w:t>
            </w:r>
            <w:r>
              <w:rPr>
                <w:rFonts w:hint="eastAsia" w:ascii="楷体" w:hAnsi="楷体" w:eastAsia="楷体" w:cs="楷体"/>
                <w:bCs/>
                <w:color w:val="000000" w:themeColor="text1"/>
                <w:sz w:val="21"/>
                <w:szCs w:val="21"/>
                <w:lang w:val="en-US" w:eastAsia="zh-CN"/>
              </w:rPr>
              <w:t>20</w:t>
            </w:r>
            <w:r>
              <w:rPr>
                <w:rFonts w:hint="eastAsia" w:ascii="楷体" w:hAnsi="楷体" w:eastAsia="楷体" w:cs="楷体"/>
                <w:bCs/>
                <w:color w:val="000000" w:themeColor="text1"/>
                <w:sz w:val="21"/>
                <w:szCs w:val="21"/>
              </w:rPr>
              <w:t>年</w:t>
            </w:r>
            <w:r>
              <w:rPr>
                <w:rFonts w:hint="eastAsia" w:ascii="楷体" w:hAnsi="楷体" w:eastAsia="楷体" w:cs="楷体"/>
                <w:bCs/>
                <w:color w:val="000000" w:themeColor="text1"/>
                <w:sz w:val="21"/>
                <w:szCs w:val="21"/>
                <w:lang w:val="en-US" w:eastAsia="zh-CN"/>
              </w:rPr>
              <w:t>度</w:t>
            </w:r>
            <w:r>
              <w:rPr>
                <w:rFonts w:hint="eastAsia" w:ascii="楷体" w:hAnsi="楷体" w:eastAsia="楷体" w:cs="楷体"/>
                <w:bCs/>
                <w:color w:val="000000" w:themeColor="text1"/>
                <w:sz w:val="21"/>
                <w:szCs w:val="21"/>
              </w:rPr>
              <w:t>目标完成情况：均完成</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公司的质量目标已分解到相关职能部门。</w:t>
            </w:r>
          </w:p>
          <w:p>
            <w:pPr>
              <w:spacing w:line="240" w:lineRule="exact"/>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执行公司《文件控制程序》《记录控制程序》</w:t>
            </w:r>
          </w:p>
          <w:p>
            <w:pPr>
              <w:tabs>
                <w:tab w:val="left" w:pos="540"/>
              </w:tabs>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公司质量管理体系文件包括：质量手册、程序文件、外来文件、记录等。已建立“受控文件清单”。</w:t>
            </w:r>
          </w:p>
          <w:p>
            <w:pPr>
              <w:tabs>
                <w:tab w:val="left" w:pos="540"/>
              </w:tabs>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查：公司质量《管理手册》、《程序文件》为依据GB/T19001-2016版编制，于2019年7月15日发布实施，目前版本为A版。</w:t>
            </w:r>
          </w:p>
          <w:p>
            <w:pPr>
              <w:tabs>
                <w:tab w:val="left" w:pos="540"/>
              </w:tabs>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由管理者代表审核，总经理批准后发布。</w:t>
            </w:r>
          </w:p>
          <w:p>
            <w:pPr>
              <w:tabs>
                <w:tab w:val="left" w:pos="540"/>
              </w:tabs>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 xml:space="preserve">查：“文 件 发 放 记 录”，内容涵盖：序号、文件名称、编号、发放记录、回收记录等。 </w:t>
            </w:r>
          </w:p>
          <w:p>
            <w:pPr>
              <w:tabs>
                <w:tab w:val="left" w:pos="540"/>
              </w:tabs>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质量手册、程序文件、作业文件已发放各部门，有签收部门确认。</w:t>
            </w:r>
          </w:p>
          <w:p>
            <w:pPr>
              <w:tabs>
                <w:tab w:val="left" w:pos="540"/>
              </w:tabs>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规定对所有失效文件，从使用场所回收并填写《文件销毁申请单》经总经理批准后要加盖“作废”印章，统一销毁。</w:t>
            </w:r>
          </w:p>
          <w:p>
            <w:pPr>
              <w:tabs>
                <w:tab w:val="left" w:pos="540"/>
              </w:tabs>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文件更改采用局部修改、换页、换版等方式。</w:t>
            </w:r>
          </w:p>
          <w:p>
            <w:pPr>
              <w:tabs>
                <w:tab w:val="left" w:pos="540"/>
              </w:tabs>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查：有“外来文件清单”记录了《产品质量法》等外来文件，控制分发，有专人负责。</w:t>
            </w:r>
          </w:p>
          <w:p>
            <w:pPr>
              <w:tabs>
                <w:tab w:val="left" w:pos="540"/>
              </w:tabs>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已建立“记录清单”内容含盖：序号、记录名称、记录编号、保存期限。</w:t>
            </w:r>
          </w:p>
          <w:p>
            <w:pPr>
              <w:tabs>
                <w:tab w:val="left" w:pos="540"/>
              </w:tabs>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微信查看，文件、记录保持清晰，保存完好</w:t>
            </w:r>
          </w:p>
          <w:p>
            <w:pPr>
              <w:tabs>
                <w:tab w:val="left" w:pos="540"/>
              </w:tabs>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ascii="楷体" w:hAnsi="楷体" w:eastAsia="楷体" w:cs="楷体"/>
                <w:sz w:val="21"/>
                <w:szCs w:val="21"/>
                <w:lang w:val="en-US" w:eastAsia="zh-CN"/>
              </w:rPr>
              <w:t>目前企业员工</w:t>
            </w:r>
            <w:r>
              <w:rPr>
                <w:rFonts w:hint="eastAsia" w:ascii="楷体" w:hAnsi="楷体" w:eastAsia="楷体" w:cs="楷体"/>
                <w:sz w:val="21"/>
                <w:szCs w:val="21"/>
              </w:rPr>
              <w:t>：</w:t>
            </w:r>
            <w:r>
              <w:rPr>
                <w:rFonts w:hint="eastAsia" w:ascii="楷体" w:hAnsi="楷体" w:eastAsia="楷体" w:cs="楷体"/>
                <w:sz w:val="21"/>
                <w:szCs w:val="21"/>
                <w:lang w:val="en-US" w:eastAsia="zh-CN"/>
              </w:rPr>
              <w:t>5人，</w:t>
            </w:r>
            <w:r>
              <w:rPr>
                <w:rFonts w:hint="eastAsia" w:ascii="楷体" w:hAnsi="楷体" w:eastAsia="楷体" w:cs="楷体"/>
                <w:sz w:val="21"/>
                <w:szCs w:val="21"/>
              </w:rPr>
              <w:t>各部门负责人、销售人员、内审员，提供了岗位职责与任职要求。新进员工已制定岗前培训计划。公司无特殊工种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lang w:val="en-US" w:eastAsia="zh-CN"/>
              </w:rPr>
              <w:t>基础设施：</w:t>
            </w:r>
            <w:r>
              <w:rPr>
                <w:rFonts w:hint="eastAsia" w:ascii="宋体" w:hAnsi="宋体"/>
                <w:bCs/>
                <w:color w:val="000000" w:themeColor="text1"/>
                <w:sz w:val="18"/>
                <w:szCs w:val="18"/>
              </w:rPr>
              <w:t>办公室（含会议室）约40平米左右、配备了电话，电脑、打印机、复印机、空调、办公桌椅等办公和通讯等设备/设施。</w:t>
            </w:r>
          </w:p>
          <w:p>
            <w:pPr>
              <w:spacing w:line="240" w:lineRule="exact"/>
              <w:rPr>
                <w:rFonts w:ascii="宋体" w:hAnsi="宋体"/>
                <w:bCs/>
                <w:color w:val="000000" w:themeColor="text1"/>
                <w:sz w:val="18"/>
                <w:szCs w:val="18"/>
              </w:rPr>
            </w:pPr>
            <w:r>
              <w:rPr>
                <w:rFonts w:hint="eastAsia" w:ascii="宋体" w:hAnsi="宋体"/>
                <w:bCs/>
                <w:color w:val="000000" w:themeColor="text1"/>
                <w:sz w:val="18"/>
                <w:szCs w:val="18"/>
              </w:rPr>
              <w:t>外部资源，如供方、客户等相关方。</w:t>
            </w:r>
          </w:p>
          <w:p>
            <w:pPr>
              <w:spacing w:line="240" w:lineRule="exact"/>
              <w:rPr>
                <w:rFonts w:ascii="宋体" w:hAnsi="宋体"/>
                <w:b/>
                <w:color w:val="000000" w:themeColor="text1"/>
                <w:sz w:val="20"/>
                <w:szCs w:val="20"/>
              </w:rPr>
            </w:pPr>
            <w:r>
              <w:rPr>
                <w:rFonts w:hint="eastAsia" w:ascii="宋体" w:hAnsi="宋体"/>
                <w:bCs/>
                <w:color w:val="000000" w:themeColor="text1"/>
                <w:sz w:val="18"/>
                <w:szCs w:val="18"/>
              </w:rPr>
              <w:t>目前企业所提供的内外部资源基本能满足管理体系运行的需要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rPr>
                <w:rFonts w:hint="eastAsia" w:ascii="楷体" w:hAnsi="楷体" w:eastAsia="楷体" w:cs="楷体"/>
                <w:sz w:val="21"/>
                <w:szCs w:val="21"/>
              </w:rPr>
            </w:pPr>
            <w:r>
              <w:rPr>
                <w:rFonts w:hint="eastAsia" w:ascii="楷体" w:hAnsi="楷体" w:eastAsia="楷体" w:cs="楷体"/>
                <w:sz w:val="21"/>
                <w:szCs w:val="21"/>
              </w:rPr>
              <w:t>●主要工作场所为公司办公场所，</w:t>
            </w:r>
            <w:r>
              <w:rPr>
                <w:rFonts w:hint="eastAsia" w:ascii="楷体" w:hAnsi="楷体" w:eastAsia="楷体" w:cs="楷体"/>
                <w:sz w:val="21"/>
                <w:szCs w:val="21"/>
                <w:lang w:val="en-US" w:eastAsia="zh-CN"/>
              </w:rPr>
              <w:t>现场</w:t>
            </w:r>
            <w:r>
              <w:rPr>
                <w:rFonts w:hint="eastAsia" w:ascii="楷体" w:hAnsi="楷体" w:eastAsia="楷体" w:cs="楷体"/>
                <w:sz w:val="21"/>
                <w:szCs w:val="21"/>
              </w:rPr>
              <w:t>查看：</w:t>
            </w:r>
          </w:p>
          <w:p>
            <w:pPr>
              <w:rPr>
                <w:rFonts w:hint="eastAsia" w:ascii="楷体" w:hAnsi="楷体" w:eastAsia="楷体" w:cs="楷体"/>
                <w:sz w:val="21"/>
                <w:szCs w:val="21"/>
              </w:rPr>
            </w:pPr>
            <w:r>
              <w:rPr>
                <w:rFonts w:hint="eastAsia" w:ascii="楷体" w:hAnsi="楷体" w:eastAsia="楷体" w:cs="楷体"/>
                <w:sz w:val="21"/>
                <w:szCs w:val="21"/>
              </w:rPr>
              <w:t>1、办公现场环境整洁，秩序良好。</w:t>
            </w:r>
          </w:p>
          <w:p>
            <w:pPr>
              <w:rPr>
                <w:rFonts w:hint="eastAsia" w:ascii="楷体" w:hAnsi="楷体" w:eastAsia="楷体" w:cs="楷体"/>
                <w:sz w:val="21"/>
                <w:szCs w:val="21"/>
              </w:rPr>
            </w:pPr>
            <w:r>
              <w:rPr>
                <w:rFonts w:hint="eastAsia" w:ascii="楷体" w:hAnsi="楷体" w:eastAsia="楷体" w:cs="楷体"/>
                <w:sz w:val="21"/>
                <w:szCs w:val="21"/>
              </w:rPr>
              <w:t>2、办公区内有消防器材，有效期内。</w:t>
            </w:r>
          </w:p>
          <w:p>
            <w:pPr>
              <w:rPr>
                <w:rFonts w:hint="eastAsia" w:ascii="楷体" w:hAnsi="楷体" w:eastAsia="楷体" w:cs="楷体"/>
                <w:sz w:val="21"/>
                <w:szCs w:val="21"/>
              </w:rPr>
            </w:pPr>
            <w:r>
              <w:rPr>
                <w:rFonts w:hint="eastAsia" w:ascii="楷体" w:hAnsi="楷体" w:eastAsia="楷体" w:cs="楷体"/>
                <w:sz w:val="21"/>
                <w:szCs w:val="21"/>
              </w:rPr>
              <w:t>3、办公设备放置合理整齐。</w:t>
            </w:r>
          </w:p>
          <w:p>
            <w:pPr>
              <w:spacing w:line="240" w:lineRule="exact"/>
              <w:rPr>
                <w:rFonts w:ascii="宋体" w:hAnsi="宋体"/>
                <w:b/>
                <w:color w:val="000000" w:themeColor="text1"/>
                <w:sz w:val="20"/>
                <w:szCs w:val="20"/>
              </w:rPr>
            </w:pPr>
            <w:r>
              <w:rPr>
                <w:rFonts w:hint="eastAsia" w:ascii="楷体" w:hAnsi="楷体" w:eastAsia="楷体" w:cs="楷体"/>
                <w:sz w:val="21"/>
                <w:szCs w:val="21"/>
              </w:rPr>
              <w:t>●工作环境可满足需要。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hint="eastAsia" w:ascii="宋体" w:hAnsi="宋体" w:eastAsia="宋体"/>
                <w:b/>
                <w:color w:val="000000" w:themeColor="text1"/>
                <w:sz w:val="20"/>
                <w:szCs w:val="20"/>
                <w:lang w:eastAsia="zh-CN"/>
              </w:rPr>
            </w:pPr>
            <w:r>
              <w:rPr>
                <w:rFonts w:hint="eastAsia" w:ascii="楷体" w:hAnsi="楷体" w:eastAsia="楷体" w:cs="楷体"/>
                <w:bCs/>
                <w:color w:val="000000" w:themeColor="text1"/>
                <w:sz w:val="21"/>
                <w:szCs w:val="21"/>
              </w:rPr>
              <w:t>企业产品销售过程属服务性质，供方发货到客户处，客户进行验收。直接送企业库房的产品均为标准包装，检验时检验数量、规格、合格证等即可，企业无需检测设备。公司目前的监视和测量工具主要是《销售管理制度》《销售过程检验规范》和《顾客满意情况调查表》等，通过表格来对产品的销售服务过程进行监督和检查，以确保满足顾客要求。</w:t>
            </w:r>
            <w:r>
              <w:rPr>
                <w:rFonts w:hint="eastAsia" w:ascii="楷体" w:hAnsi="楷体" w:eastAsia="楷体" w:cs="楷体"/>
                <w:bCs/>
                <w:color w:val="000000" w:themeColor="text1"/>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lang w:val="en-US" w:eastAsia="zh-CN"/>
              </w:rPr>
              <w:t>办公室</w:t>
            </w:r>
            <w:r>
              <w:rPr>
                <w:rFonts w:hint="eastAsia" w:ascii="楷体" w:hAnsi="楷体" w:eastAsia="楷体" w:cs="楷体"/>
                <w:bCs/>
                <w:color w:val="000000" w:themeColor="text1"/>
                <w:sz w:val="21"/>
                <w:szCs w:val="21"/>
              </w:rPr>
              <w:t>负责公司知识管理的协调工作、无形资产的管理以及公司所有制度文件和资料的管理和控制工作并对内、外部知识进行确定、维护、发放与管理。</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已识别的公司内部知识包括：公司信息、专业技术知识、项目积累三大类。主要有：人员的工作经历、经验、技能、作业文件、工作程序等。</w:t>
            </w:r>
          </w:p>
          <w:p>
            <w:pPr>
              <w:spacing w:line="240" w:lineRule="exact"/>
              <w:rPr>
                <w:rFonts w:hint="eastAsia" w:ascii="宋体" w:hAnsi="宋体" w:eastAsia="宋体"/>
                <w:b/>
                <w:color w:val="000000" w:themeColor="text1"/>
                <w:sz w:val="20"/>
                <w:szCs w:val="20"/>
                <w:lang w:eastAsia="zh-CN"/>
              </w:rPr>
            </w:pPr>
            <w:r>
              <w:rPr>
                <w:rFonts w:hint="eastAsia" w:ascii="楷体" w:hAnsi="楷体" w:eastAsia="楷体" w:cs="楷体"/>
                <w:bCs/>
                <w:color w:val="000000" w:themeColor="text1"/>
                <w:sz w:val="21"/>
                <w:szCs w:val="21"/>
              </w:rPr>
              <w:t xml:space="preserve">    外部知识包括：外来资料、市场信息两大类。主要有：法律法规：《中华人民共和国产品质量法》、《中华人民共和国产品标准化法》、《中华人民共和国知识产权法》、《中华人民共和国合同法》、《GB/T16868-2009商品经营服务质量管理规范》、《GB/T15624-2011服务标准化工作指南》产品标准执行东方（十堰）底盘部件有限公司标准：EQL-27、EQY-273-2002、EQY-273-2002、DFLCB-1009-2006金属冲压制件的普通尺寸公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pPr>
            <w:r>
              <w:rPr>
                <w:rFonts w:hint="eastAsia"/>
              </w:rPr>
              <w:t>1. 针对方针的管理职责评审</w:t>
            </w:r>
          </w:p>
          <w:p>
            <w:pPr>
              <w:spacing w:line="300" w:lineRule="exact"/>
              <w:ind w:left="1"/>
              <w:rPr>
                <w:rFonts w:hint="eastAsia"/>
              </w:rPr>
            </w:pPr>
            <w:r>
              <w:rPr>
                <w:rFonts w:hint="eastAsia"/>
              </w:rPr>
              <w:t>（包括针对组织宗旨，制定相关管理方针政策、确保方针为员工理解并在运营中实施，监视方针的实施并评审方针的适宜性）</w:t>
            </w:r>
          </w:p>
          <w:p>
            <w:pPr>
              <w:bidi w:val="0"/>
              <w:rPr>
                <w:rFonts w:hint="eastAsia" w:ascii="楷体" w:hAnsi="楷体" w:eastAsia="楷体" w:cs="楷体"/>
              </w:rPr>
            </w:pPr>
            <w:r>
              <w:rPr>
                <w:rFonts w:hint="eastAsia" w:ascii="楷体" w:hAnsi="楷体" w:eastAsia="楷体" w:cs="楷体"/>
              </w:rPr>
              <w:t>企业策划并制定了质量方针：“</w:t>
            </w:r>
            <w:r>
              <w:rPr>
                <w:rFonts w:hint="eastAsia" w:ascii="楷体" w:hAnsi="楷体" w:eastAsia="楷体" w:cs="楷体"/>
                <w:lang w:val="en-GB"/>
              </w:rPr>
              <w:t>遵守法律法规   提供优质服务</w:t>
            </w:r>
            <w:r>
              <w:rPr>
                <w:rFonts w:hint="eastAsia" w:ascii="楷体" w:hAnsi="楷体" w:eastAsia="楷体" w:cs="楷体"/>
              </w:rPr>
              <w:t xml:space="preserve">   </w:t>
            </w:r>
            <w:r>
              <w:rPr>
                <w:rFonts w:hint="eastAsia" w:ascii="楷体" w:hAnsi="楷体" w:eastAsia="楷体" w:cs="楷体"/>
                <w:lang w:val="en-GB"/>
              </w:rPr>
              <w:t>坚持持续改进   满足顾客需求</w:t>
            </w:r>
            <w:r>
              <w:rPr>
                <w:rFonts w:hint="eastAsia" w:ascii="楷体" w:hAnsi="楷体" w:eastAsia="楷体" w:cs="楷体"/>
              </w:rPr>
              <w:t>”；方针在质量手册中予以规定，经总经理批准实施。</w:t>
            </w:r>
          </w:p>
          <w:p>
            <w:pPr>
              <w:bidi w:val="0"/>
            </w:pPr>
            <w:r>
              <w:rPr>
                <w:rFonts w:hint="eastAsia" w:ascii="楷体" w:hAnsi="楷体" w:eastAsia="楷体" w:cs="楷体"/>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hint="eastAsia"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p>
          <w:p>
            <w:pPr>
              <w:numPr>
                <w:ilvl w:val="0"/>
                <w:numId w:val="4"/>
              </w:numPr>
              <w:spacing w:line="240" w:lineRule="exact"/>
              <w:rPr>
                <w:rFonts w:hint="eastAsia" w:ascii="楷体_GB2312" w:eastAsia="楷体_GB2312"/>
                <w:color w:val="000000" w:themeColor="text1"/>
                <w:sz w:val="21"/>
                <w:szCs w:val="21"/>
              </w:rPr>
            </w:pPr>
            <w:r>
              <w:rPr>
                <w:rFonts w:hint="eastAsia" w:ascii="楷体_GB2312" w:eastAsia="楷体_GB2312"/>
                <w:color w:val="000000" w:themeColor="text1"/>
                <w:sz w:val="21"/>
                <w:szCs w:val="21"/>
              </w:rPr>
              <w:t>通过各种列会传达、通报质量管理情况（如工作例会、经营会议等)；</w:t>
            </w:r>
          </w:p>
          <w:p>
            <w:pPr>
              <w:numPr>
                <w:ilvl w:val="0"/>
                <w:numId w:val="4"/>
              </w:numPr>
              <w:spacing w:line="240" w:lineRule="exact"/>
              <w:ind w:left="0" w:leftChars="0" w:firstLine="0" w:firstLineChars="0"/>
              <w:rPr>
                <w:rFonts w:hint="eastAsia" w:ascii="楷体_GB2312" w:eastAsia="楷体_GB2312"/>
                <w:color w:val="000000" w:themeColor="text1"/>
                <w:sz w:val="21"/>
                <w:szCs w:val="21"/>
              </w:rPr>
            </w:pPr>
            <w:r>
              <w:rPr>
                <w:rFonts w:hint="eastAsia" w:ascii="楷体_GB2312" w:eastAsia="楷体_GB2312"/>
                <w:color w:val="000000" w:themeColor="text1"/>
                <w:sz w:val="21"/>
                <w:szCs w:val="21"/>
              </w:rPr>
              <w:t>各部门内部会议等；</w:t>
            </w:r>
          </w:p>
          <w:p>
            <w:pPr>
              <w:numPr>
                <w:ilvl w:val="0"/>
                <w:numId w:val="4"/>
              </w:numPr>
              <w:spacing w:line="240" w:lineRule="exact"/>
              <w:ind w:left="0" w:leftChars="0" w:firstLine="0" w:firstLineChars="0"/>
              <w:rPr>
                <w:rFonts w:hint="eastAsia" w:ascii="楷体_GB2312" w:eastAsia="楷体_GB2312"/>
                <w:color w:val="000000" w:themeColor="text1"/>
                <w:sz w:val="21"/>
                <w:szCs w:val="21"/>
              </w:rPr>
            </w:pPr>
            <w:r>
              <w:rPr>
                <w:rFonts w:hint="eastAsia" w:ascii="楷体_GB2312" w:eastAsia="楷体_GB2312"/>
                <w:color w:val="000000" w:themeColor="text1"/>
                <w:sz w:val="21"/>
                <w:szCs w:val="21"/>
              </w:rPr>
              <w:t>内部文件的学习和传递；</w:t>
            </w:r>
          </w:p>
          <w:p>
            <w:pPr>
              <w:numPr>
                <w:ilvl w:val="0"/>
                <w:numId w:val="0"/>
              </w:numPr>
              <w:spacing w:line="240" w:lineRule="exact"/>
              <w:ind w:leftChars="0"/>
              <w:rPr>
                <w:rFonts w:ascii="楷体_GB2312" w:eastAsia="楷体_GB2312"/>
                <w:b/>
                <w:color w:val="000000" w:themeColor="text1"/>
                <w:sz w:val="21"/>
                <w:szCs w:val="21"/>
              </w:rPr>
            </w:pPr>
            <w:r>
              <w:rPr>
                <w:rFonts w:hint="eastAsia" w:ascii="楷体_GB2312" w:eastAsia="楷体_GB2312"/>
                <w:color w:val="000000" w:themeColor="text1"/>
                <w:sz w:val="21"/>
                <w:szCs w:val="21"/>
              </w:rPr>
              <w:t>d)公司宣传栏等方式</w:t>
            </w:r>
          </w:p>
          <w:p>
            <w:pPr>
              <w:spacing w:line="240" w:lineRule="exact"/>
              <w:rPr>
                <w:rFonts w:hint="eastAsia" w:ascii="楷体_GB2312" w:eastAsia="楷体_GB2312"/>
                <w:b/>
                <w:color w:val="000000" w:themeColor="text1"/>
                <w:sz w:val="21"/>
                <w:szCs w:val="21"/>
                <w:lang w:val="en-US" w:eastAsia="zh-CN"/>
              </w:rPr>
            </w:pPr>
            <w:r>
              <w:rPr>
                <w:rFonts w:hint="eastAsia" w:ascii="楷体_GB2312" w:eastAsia="楷体_GB2312"/>
                <w:b/>
                <w:color w:val="000000" w:themeColor="text1"/>
                <w:sz w:val="21"/>
                <w:szCs w:val="21"/>
              </w:rPr>
              <w:t>内部沟通的效果：</w:t>
            </w:r>
            <w:r>
              <w:rPr>
                <w:rFonts w:hint="eastAsia" w:ascii="楷体_GB2312" w:eastAsia="楷体_GB2312"/>
                <w:b/>
                <w:color w:val="000000" w:themeColor="text1"/>
                <w:sz w:val="21"/>
                <w:szCs w:val="21"/>
                <w:lang w:val="en-US" w:eastAsia="zh-CN"/>
              </w:rPr>
              <w:t>良好</w:t>
            </w:r>
          </w:p>
          <w:p>
            <w:pPr>
              <w:spacing w:line="240" w:lineRule="exact"/>
              <w:rPr>
                <w:rFonts w:ascii="楷体_GB2312" w:eastAsia="楷体_GB2312"/>
                <w:b/>
                <w:color w:val="000000" w:themeColor="text1"/>
                <w:sz w:val="20"/>
                <w:szCs w:val="20"/>
              </w:rPr>
            </w:pPr>
          </w:p>
          <w:p>
            <w:pPr>
              <w:spacing w:line="240" w:lineRule="exact"/>
              <w:rPr>
                <w:rFonts w:hint="eastAsia"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p>
          <w:p>
            <w:pPr>
              <w:numPr>
                <w:ilvl w:val="0"/>
                <w:numId w:val="5"/>
              </w:numPr>
              <w:spacing w:line="240" w:lineRule="exact"/>
              <w:rPr>
                <w:rFonts w:hint="eastAsia" w:ascii="楷体_GB2312" w:eastAsia="楷体_GB2312"/>
                <w:color w:val="000000" w:themeColor="text1"/>
                <w:sz w:val="21"/>
                <w:szCs w:val="21"/>
              </w:rPr>
            </w:pPr>
            <w:r>
              <w:rPr>
                <w:rFonts w:hint="eastAsia" w:ascii="楷体_GB2312" w:eastAsia="楷体_GB2312"/>
                <w:color w:val="000000" w:themeColor="text1"/>
                <w:sz w:val="21"/>
                <w:szCs w:val="21"/>
              </w:rPr>
              <w:t>与供方沟通采购产品信息，产品质量和交货信息等；</w:t>
            </w:r>
          </w:p>
          <w:p>
            <w:pPr>
              <w:numPr>
                <w:ilvl w:val="0"/>
                <w:numId w:val="5"/>
              </w:numPr>
              <w:spacing w:line="240" w:lineRule="exact"/>
              <w:ind w:left="0" w:leftChars="0" w:firstLine="0" w:firstLineChars="0"/>
              <w:rPr>
                <w:rFonts w:hint="eastAsia" w:ascii="楷体_GB2312" w:eastAsia="楷体_GB2312"/>
                <w:color w:val="000000" w:themeColor="text1"/>
                <w:sz w:val="21"/>
                <w:szCs w:val="21"/>
              </w:rPr>
            </w:pPr>
            <w:r>
              <w:rPr>
                <w:rFonts w:hint="eastAsia" w:ascii="楷体_GB2312" w:eastAsia="楷体_GB2312"/>
                <w:color w:val="000000" w:themeColor="text1"/>
                <w:sz w:val="21"/>
                <w:szCs w:val="21"/>
              </w:rPr>
              <w:t>与顾客沟通新产品信息、产品质量、交付情况和服务方面等；</w:t>
            </w:r>
          </w:p>
          <w:p>
            <w:pPr>
              <w:numPr>
                <w:ilvl w:val="0"/>
                <w:numId w:val="0"/>
              </w:numPr>
              <w:spacing w:line="240" w:lineRule="exact"/>
              <w:ind w:leftChars="0"/>
              <w:rPr>
                <w:rFonts w:ascii="楷体_GB2312" w:eastAsia="楷体_GB2312"/>
                <w:color w:val="000000" w:themeColor="text1"/>
                <w:sz w:val="21"/>
                <w:szCs w:val="21"/>
              </w:rPr>
            </w:pPr>
            <w:r>
              <w:rPr>
                <w:rFonts w:hint="eastAsia" w:ascii="楷体_GB2312" w:eastAsia="楷体_GB2312"/>
                <w:color w:val="000000" w:themeColor="text1"/>
                <w:sz w:val="21"/>
                <w:szCs w:val="21"/>
              </w:rPr>
              <w:t>c)与当地政府主管部门进行交流沟通。</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内外部信息交流/沟通方式可行、有效</w:t>
            </w:r>
          </w:p>
          <w:p>
            <w:pPr>
              <w:spacing w:line="240" w:lineRule="exact"/>
              <w:rPr>
                <w:rFonts w:ascii="楷体_GB2312" w:eastAsia="楷体_GB2312"/>
                <w:b/>
                <w:color w:val="000000" w:themeColor="text1"/>
                <w:sz w:val="20"/>
                <w:szCs w:val="20"/>
              </w:rPr>
            </w:pPr>
          </w:p>
          <w:p>
            <w:pPr>
              <w:spacing w:line="240" w:lineRule="exact"/>
              <w:rPr>
                <w:rFonts w:hint="eastAsia" w:ascii="楷体_GB2312" w:eastAsia="楷体_GB2312"/>
                <w:b/>
                <w:color w:val="000000" w:themeColor="text1"/>
                <w:sz w:val="20"/>
                <w:szCs w:val="20"/>
                <w:lang w:eastAsia="zh-CN"/>
              </w:rPr>
            </w:pPr>
            <w:r>
              <w:rPr>
                <w:rFonts w:hint="eastAsia" w:ascii="楷体_GB2312" w:eastAsia="楷体_GB2312"/>
                <w:b/>
                <w:color w:val="000000" w:themeColor="text1"/>
                <w:sz w:val="20"/>
                <w:szCs w:val="20"/>
                <w:lang w:val="en-US" w:eastAsia="zh-CN"/>
              </w:rPr>
              <w:t xml:space="preserve"> </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hint="eastAsia" w:ascii="楷体" w:hAnsi="楷体" w:eastAsia="楷体" w:cs="楷体"/>
                <w:b/>
                <w:color w:val="000000" w:themeColor="text1"/>
                <w:sz w:val="21"/>
                <w:szCs w:val="21"/>
              </w:rPr>
            </w:pPr>
            <w:r>
              <w:rPr>
                <w:rFonts w:hint="eastAsia" w:ascii="楷体" w:hAnsi="楷体" w:eastAsia="楷体" w:cs="楷体"/>
                <w:b/>
                <w:color w:val="000000" w:themeColor="text1"/>
                <w:sz w:val="21"/>
                <w:szCs w:val="21"/>
              </w:rPr>
              <w:t>3.  QMS 组织对重要过程实施控制的结果</w:t>
            </w:r>
          </w:p>
          <w:p>
            <w:pPr>
              <w:spacing w:line="240" w:lineRule="exact"/>
              <w:ind w:left="159" w:hanging="167" w:hangingChars="79"/>
              <w:rPr>
                <w:rFonts w:hint="eastAsia" w:ascii="楷体" w:hAnsi="楷体" w:eastAsia="楷体" w:cs="楷体"/>
                <w:b/>
                <w:color w:val="000000" w:themeColor="text1"/>
                <w:sz w:val="21"/>
                <w:szCs w:val="21"/>
              </w:rPr>
            </w:pPr>
            <w:r>
              <w:rPr>
                <w:rFonts w:hint="eastAsia" w:ascii="楷体" w:hAnsi="楷体" w:eastAsia="楷体" w:cs="楷体"/>
                <w:b/>
                <w:color w:val="000000" w:themeColor="text1"/>
                <w:sz w:val="21"/>
                <w:szCs w:val="21"/>
              </w:rPr>
              <w:t>(包括对QMS关键工序(过程)、特殊过程控制;评价组织对过程实施控制情况/)</w:t>
            </w:r>
          </w:p>
          <w:p>
            <w:pPr>
              <w:spacing w:line="240" w:lineRule="exact"/>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公司针对产品销售的特点进行了如下策划：</w:t>
            </w:r>
          </w:p>
          <w:p>
            <w:pPr>
              <w:spacing w:line="240" w:lineRule="exact"/>
              <w:ind w:left="142" w:hanging="165" w:hangingChars="79"/>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一、策划了流程：客户需求—面对面服务—签订合同—采购—发货--验收</w:t>
            </w:r>
          </w:p>
          <w:p>
            <w:pPr>
              <w:spacing w:line="240" w:lineRule="exact"/>
              <w:ind w:left="142" w:hanging="165" w:hangingChars="79"/>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二、确定了相应的质量目标，目标基本合理、可测量、可达到。</w:t>
            </w:r>
          </w:p>
          <w:p>
            <w:pPr>
              <w:spacing w:line="240" w:lineRule="exact"/>
              <w:ind w:left="142" w:hanging="165" w:hangingChars="79"/>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三、策划了相关文件：《GB/T16868-2009商品经营服务质量管理规范》、《GB/T15624-2011服务标准化工作指南》产品标准执行东方（十堰）底盘部件有限公司标准：EQL-27、EQY-273-2002、EQY-273-2002、DFLCB-1009-2006金属冲压制件的普通尺寸公差等国家法律法规、标准要求、客户要求</w:t>
            </w:r>
          </w:p>
          <w:p>
            <w:pPr>
              <w:spacing w:line="240" w:lineRule="exact"/>
              <w:ind w:left="142" w:hanging="165" w:hangingChars="79"/>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 xml:space="preserve">策划了《销售管理制度》《销售过程检验规范》等记录。 </w:t>
            </w:r>
          </w:p>
          <w:p>
            <w:pPr>
              <w:spacing w:line="240" w:lineRule="exact"/>
              <w:ind w:left="142" w:hanging="165" w:hangingChars="79"/>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 xml:space="preserve">四、服务过程中由部门负责人进行考核/检查，项目完成后由客户进行服务评价，符合要求。 </w:t>
            </w:r>
          </w:p>
          <w:p>
            <w:pPr>
              <w:spacing w:line="240" w:lineRule="exact"/>
              <w:ind w:left="142" w:hanging="165" w:hangingChars="79"/>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五、场所：销售服务在办公楼内进行，电脑台式机、打印机等设备设施，基本满足工作需要。资源基本满足。</w:t>
            </w:r>
          </w:p>
          <w:p>
            <w:pPr>
              <w:spacing w:line="240" w:lineRule="exact"/>
              <w:ind w:left="142" w:hanging="165" w:hangingChars="79"/>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六、通过识别与评价对公司目标和战略方向相关，影响其实现质量管理体系预期结果的各种内外部环境因素，有效应对风险和机遇。</w:t>
            </w:r>
          </w:p>
          <w:p>
            <w:pPr>
              <w:spacing w:line="240" w:lineRule="exact"/>
              <w:ind w:left="142" w:hanging="165" w:hangingChars="79"/>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七、无外包过程。</w:t>
            </w:r>
          </w:p>
          <w:p>
            <w:pPr>
              <w:spacing w:line="240" w:lineRule="exact"/>
              <w:ind w:left="142" w:hanging="165" w:hangingChars="79"/>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策划适合组织体系运行需要，未发生更改，策划情况符合标准要求</w:t>
            </w:r>
          </w:p>
          <w:p>
            <w:pPr>
              <w:spacing w:line="240" w:lineRule="exact"/>
              <w:ind w:left="142" w:hanging="165" w:hangingChars="79"/>
              <w:rPr>
                <w:rFonts w:hint="eastAsia" w:ascii="楷体" w:hAnsi="楷体" w:eastAsia="楷体" w:cs="楷体"/>
                <w:color w:val="000000" w:themeColor="text1"/>
                <w:sz w:val="21"/>
                <w:szCs w:val="21"/>
              </w:rPr>
            </w:pPr>
          </w:p>
          <w:p>
            <w:pPr>
              <w:spacing w:line="240" w:lineRule="exact"/>
              <w:ind w:left="167" w:hanging="167" w:hangingChars="79"/>
              <w:rPr>
                <w:rFonts w:hint="eastAsia" w:ascii="楷体" w:hAnsi="楷体" w:eastAsia="楷体" w:cs="楷体"/>
                <w:b/>
                <w:bCs/>
                <w:color w:val="000000" w:themeColor="text1"/>
                <w:sz w:val="21"/>
                <w:szCs w:val="21"/>
              </w:rPr>
            </w:pPr>
            <w:r>
              <w:rPr>
                <w:rFonts w:hint="eastAsia" w:ascii="楷体" w:hAnsi="楷体" w:eastAsia="楷体" w:cs="楷体"/>
                <w:b/>
                <w:bCs/>
                <w:color w:val="000000" w:themeColor="text1"/>
                <w:sz w:val="21"/>
                <w:szCs w:val="21"/>
              </w:rPr>
              <w:t>设计开发</w:t>
            </w:r>
          </w:p>
          <w:p>
            <w:pPr>
              <w:spacing w:line="240" w:lineRule="exact"/>
              <w:ind w:left="142" w:hanging="165" w:hangingChars="79"/>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企业是根据顾客要求进行采购、销售活动。销售产品、销售模式固定，确定本公司不涉及产品和服务的设计和开发，故对标准中的8.3条款的内容不适用。不适用后不影响组织提供满足顾客要求和适用法律法规要求的产品的能力或责任。</w:t>
            </w:r>
          </w:p>
          <w:p>
            <w:pPr>
              <w:spacing w:line="240" w:lineRule="exact"/>
              <w:ind w:left="142" w:hanging="165" w:hangingChars="79"/>
              <w:rPr>
                <w:rFonts w:hint="eastAsia" w:ascii="楷体" w:hAnsi="楷体" w:eastAsia="楷体" w:cs="楷体"/>
                <w:color w:val="000000" w:themeColor="text1"/>
                <w:sz w:val="21"/>
                <w:szCs w:val="21"/>
              </w:rPr>
            </w:pPr>
          </w:p>
          <w:p>
            <w:pPr>
              <w:spacing w:line="240" w:lineRule="exact"/>
              <w:rPr>
                <w:rFonts w:hint="eastAsia" w:ascii="楷体" w:hAnsi="楷体" w:eastAsia="楷体" w:cs="楷体"/>
                <w:b/>
                <w:bCs/>
                <w:color w:val="000000" w:themeColor="text1"/>
                <w:sz w:val="21"/>
                <w:szCs w:val="21"/>
              </w:rPr>
            </w:pPr>
            <w:r>
              <w:rPr>
                <w:rFonts w:hint="eastAsia" w:ascii="楷体" w:hAnsi="楷体" w:eastAsia="楷体" w:cs="楷体"/>
                <w:b/>
                <w:bCs/>
                <w:color w:val="000000" w:themeColor="text1"/>
                <w:sz w:val="21"/>
                <w:szCs w:val="21"/>
              </w:rPr>
              <w:t>外部提供过程、产品和服务过程管理</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lang w:val="en-US" w:eastAsia="zh-CN"/>
              </w:rPr>
              <w:t xml:space="preserve"> </w:t>
            </w:r>
            <w:r>
              <w:rPr>
                <w:rFonts w:hint="eastAsia" w:ascii="楷体" w:hAnsi="楷体" w:eastAsia="楷体" w:cs="楷体"/>
                <w:bCs/>
                <w:color w:val="000000" w:themeColor="text1"/>
                <w:sz w:val="21"/>
                <w:szCs w:val="21"/>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单”。</w:t>
            </w:r>
          </w:p>
          <w:p>
            <w:pPr>
              <w:spacing w:line="240" w:lineRule="exact"/>
              <w:rPr>
                <w:rFonts w:hint="eastAsia" w:ascii="楷体" w:hAnsi="楷体" w:eastAsia="楷体" w:cs="楷体"/>
                <w:bCs/>
                <w:sz w:val="21"/>
                <w:szCs w:val="21"/>
              </w:rPr>
            </w:pPr>
            <w:r>
              <w:rPr>
                <w:rFonts w:hint="eastAsia" w:ascii="楷体" w:hAnsi="楷体" w:eastAsia="楷体" w:cs="楷体"/>
                <w:bCs/>
                <w:color w:val="000000" w:themeColor="text1"/>
                <w:sz w:val="21"/>
                <w:szCs w:val="21"/>
              </w:rPr>
              <w:t>销售部签订合同后，采购员下采购单，经总经理审批后进行采购。每批次采购产品生产完成后，供方通知企业核对订单，无误后产品直接发货到客户指定地点。少量产品会有发货到企业，企业进行检验，进行短期保存后发客户。抽采购合同，符合要求。采购产品检验：供方将货品准备齐全后电话沟通或邮件形式与企业确认产品数量、型号等，企业确认无误后进行发货，多数产品直接发货到客户指定地点，由客户进行检验，检验无误后开具发票，进行结算。如检验过程中存在不符，客户</w:t>
            </w:r>
            <w:r>
              <w:rPr>
                <w:rFonts w:hint="eastAsia" w:ascii="楷体" w:hAnsi="楷体" w:eastAsia="楷体" w:cs="楷体"/>
                <w:bCs/>
                <w:sz w:val="21"/>
                <w:szCs w:val="21"/>
              </w:rPr>
              <w:t>可直接拒收。企业会保留小量产品，用于小量客户供给。产品均有包装，企业检验只需检验数量、型号、产品合格证即可。</w:t>
            </w:r>
          </w:p>
          <w:p>
            <w:pPr>
              <w:spacing w:line="240" w:lineRule="exact"/>
              <w:rPr>
                <w:rFonts w:hint="eastAsia" w:ascii="楷体" w:hAnsi="楷体" w:eastAsia="楷体" w:cs="楷体"/>
                <w:bCs/>
                <w:kern w:val="2"/>
                <w:sz w:val="21"/>
                <w:szCs w:val="21"/>
                <w:lang w:val="en-US" w:eastAsia="zh-CN" w:bidi="ar-SA"/>
              </w:rPr>
            </w:pPr>
            <w:r>
              <w:rPr>
                <w:rFonts w:hint="eastAsia" w:ascii="楷体" w:hAnsi="楷体" w:eastAsia="楷体" w:cs="楷体"/>
                <w:bCs/>
                <w:sz w:val="21"/>
                <w:szCs w:val="21"/>
              </w:rPr>
              <w:t>抽检验记录，符合要求。部分产品直接发送到客户处，有签收单，有客户及收货人签字确认，符合要求。部分产品企业收集了产品校准证书等，采购过程受控。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hint="eastAsia" w:ascii="楷体" w:hAnsi="楷体" w:eastAsia="楷体" w:cs="楷体"/>
                <w:bCs/>
                <w:sz w:val="21"/>
                <w:szCs w:val="21"/>
              </w:rPr>
            </w:pPr>
            <w:r>
              <w:rPr>
                <w:rFonts w:hint="eastAsia" w:ascii="楷体" w:hAnsi="楷体" w:eastAsia="楷体" w:cs="楷体"/>
                <w:b/>
                <w:sz w:val="21"/>
                <w:szCs w:val="21"/>
              </w:rPr>
              <w:t>生产及服务过程控制</w:t>
            </w:r>
          </w:p>
          <w:p>
            <w:pPr>
              <w:rPr>
                <w:rFonts w:hint="eastAsia" w:ascii="楷体" w:hAnsi="楷体" w:eastAsia="楷体" w:cs="楷体"/>
                <w:bCs/>
                <w:sz w:val="21"/>
                <w:szCs w:val="21"/>
              </w:rPr>
            </w:pPr>
            <w:r>
              <w:rPr>
                <w:rFonts w:hint="eastAsia" w:ascii="楷体" w:hAnsi="楷体" w:eastAsia="楷体" w:cs="楷体"/>
                <w:bCs/>
                <w:sz w:val="21"/>
                <w:szCs w:val="21"/>
              </w:rPr>
              <w:t>1、销售部获取销售信息，与客户洽谈，在签订合同前对客户要求进行评审，确认可以满足行业有关法律、法规要求和公司规定及客户要求时，签订合同，根据销售合同为客户提供服务。</w:t>
            </w:r>
          </w:p>
          <w:p>
            <w:pPr>
              <w:rPr>
                <w:rFonts w:hint="eastAsia" w:ascii="楷体" w:hAnsi="楷体" w:eastAsia="楷体" w:cs="楷体"/>
                <w:bCs/>
                <w:sz w:val="21"/>
                <w:szCs w:val="21"/>
              </w:rPr>
            </w:pPr>
            <w:r>
              <w:rPr>
                <w:rFonts w:hint="eastAsia" w:ascii="楷体" w:hAnsi="楷体" w:eastAsia="楷体" w:cs="楷体"/>
                <w:bCs/>
                <w:sz w:val="21"/>
                <w:szCs w:val="21"/>
              </w:rPr>
              <w:t>产品销售流程：客户需求—面对面服务—签订合同—采购—发货--验收    确定了销售服务为需确认过程</w:t>
            </w:r>
          </w:p>
          <w:p>
            <w:pPr>
              <w:rPr>
                <w:rFonts w:hint="eastAsia" w:ascii="楷体" w:hAnsi="楷体" w:eastAsia="楷体" w:cs="楷体"/>
                <w:bCs/>
                <w:sz w:val="21"/>
                <w:szCs w:val="21"/>
              </w:rPr>
            </w:pPr>
            <w:r>
              <w:rPr>
                <w:rFonts w:hint="eastAsia" w:ascii="楷体" w:hAnsi="楷体" w:eastAsia="楷体" w:cs="楷体"/>
                <w:bCs/>
                <w:sz w:val="21"/>
                <w:szCs w:val="21"/>
              </w:rPr>
              <w:t>2、监视测量资源：公司针对产品和服务的特点编制有职能分配与部门职责、《销售管理制度》《销售过程检验规范》等作业规范。通过日常顾客满意度调查表等形式对销售服务过程进行监测。</w:t>
            </w:r>
          </w:p>
          <w:p>
            <w:pPr>
              <w:rPr>
                <w:rFonts w:hint="eastAsia" w:ascii="楷体" w:hAnsi="楷体" w:eastAsia="楷体" w:cs="楷体"/>
                <w:bCs/>
                <w:sz w:val="21"/>
                <w:szCs w:val="21"/>
              </w:rPr>
            </w:pPr>
            <w:r>
              <w:rPr>
                <w:rFonts w:hint="eastAsia" w:ascii="楷体" w:hAnsi="楷体" w:eastAsia="楷体" w:cs="楷体"/>
                <w:bCs/>
                <w:sz w:val="21"/>
                <w:szCs w:val="21"/>
              </w:rPr>
              <w:t>3、接收准则：识别了规范和接收和放行准则：产品销售过程符合合同要求等接收准则。微信视频审核获悉，销售部主要依据招标文件和销售合同要求，在合格供方采购客户所需的产品转卖给顾客，相关责任人员负责与供方单位和顾客联络，与供方协调产品采购和客户协调产品的交货事宜，供方直接将产品送到客户所在地，客户进行验货。抽合同、进货检验卡等，均保存完好，符合要求。</w:t>
            </w:r>
          </w:p>
          <w:p>
            <w:pPr>
              <w:rPr>
                <w:rFonts w:hint="eastAsia" w:ascii="楷体" w:hAnsi="楷体" w:eastAsia="楷体" w:cs="楷体"/>
                <w:bCs/>
                <w:sz w:val="21"/>
                <w:szCs w:val="21"/>
              </w:rPr>
            </w:pPr>
            <w:r>
              <w:rPr>
                <w:rFonts w:hint="eastAsia" w:ascii="楷体" w:hAnsi="楷体" w:eastAsia="楷体" w:cs="楷体"/>
                <w:bCs/>
                <w:sz w:val="21"/>
                <w:szCs w:val="21"/>
              </w:rPr>
              <w:t>4、现场查看产品销售情况：现场清洁卫生，配备有消防设施；现场有台式电脑、笔记本、传真机等日常办公设备，设备运行良好；现场有工作人员正利用电话、网络与客户交流，服务规范。</w:t>
            </w:r>
          </w:p>
          <w:p>
            <w:pPr>
              <w:rPr>
                <w:rFonts w:hint="eastAsia" w:ascii="楷体" w:hAnsi="楷体" w:eastAsia="楷体" w:cs="楷体"/>
                <w:bCs/>
                <w:sz w:val="21"/>
                <w:szCs w:val="21"/>
              </w:rPr>
            </w:pPr>
            <w:r>
              <w:rPr>
                <w:rFonts w:hint="eastAsia" w:ascii="楷体" w:hAnsi="楷体" w:eastAsia="楷体" w:cs="楷体"/>
                <w:bCs/>
                <w:sz w:val="21"/>
                <w:szCs w:val="21"/>
              </w:rPr>
              <w:t>5、销售人员均为培训合格并有多年工作经验的人员，符合要求。</w:t>
            </w:r>
          </w:p>
          <w:p>
            <w:pPr>
              <w:rPr>
                <w:rFonts w:hint="eastAsia" w:ascii="楷体" w:hAnsi="楷体" w:eastAsia="楷体" w:cs="楷体"/>
                <w:bCs/>
                <w:sz w:val="21"/>
                <w:szCs w:val="21"/>
              </w:rPr>
            </w:pPr>
            <w:r>
              <w:rPr>
                <w:rFonts w:hint="eastAsia" w:ascii="楷体" w:hAnsi="楷体" w:eastAsia="楷体" w:cs="楷体"/>
                <w:bCs/>
                <w:sz w:val="21"/>
                <w:szCs w:val="21"/>
              </w:rPr>
              <w:t>6、识别了需要确认的过程为销售服务，提供《特殊过程确认表》，符合要求。</w:t>
            </w:r>
          </w:p>
          <w:p>
            <w:pPr>
              <w:rPr>
                <w:rFonts w:hint="eastAsia" w:ascii="楷体" w:hAnsi="楷体" w:eastAsia="楷体" w:cs="楷体"/>
                <w:bCs/>
                <w:sz w:val="21"/>
                <w:szCs w:val="21"/>
              </w:rPr>
            </w:pPr>
            <w:r>
              <w:rPr>
                <w:rFonts w:hint="eastAsia" w:ascii="楷体" w:hAnsi="楷体" w:eastAsia="楷体" w:cs="楷体"/>
                <w:bCs/>
                <w:sz w:val="21"/>
                <w:szCs w:val="21"/>
              </w:rPr>
              <w:t>7、产品需经检验合格后方可交付给客户，产品交付后，严格遵守销售合同中的各项承诺，尽量避免客户的抱怨和投诉。</w:t>
            </w:r>
          </w:p>
          <w:p>
            <w:pPr>
              <w:rPr>
                <w:rFonts w:hint="eastAsia" w:ascii="楷体" w:hAnsi="楷体" w:eastAsia="楷体" w:cs="楷体"/>
                <w:bCs/>
                <w:sz w:val="21"/>
                <w:szCs w:val="21"/>
              </w:rPr>
            </w:pPr>
            <w:r>
              <w:rPr>
                <w:rFonts w:hint="eastAsia" w:ascii="楷体" w:hAnsi="楷体" w:eastAsia="楷体" w:cs="楷体"/>
                <w:bCs/>
                <w:sz w:val="21"/>
                <w:szCs w:val="21"/>
              </w:rPr>
              <w:t>8、现场观察到办公场所环境良好，文件资料及时进行整理，并存放指定地点，工作人员具有工作状态良好，销售人员和客户沟通用语规范，工作氛围总体良好。</w:t>
            </w:r>
          </w:p>
          <w:p>
            <w:pPr>
              <w:rPr>
                <w:rFonts w:hint="eastAsia" w:ascii="楷体" w:hAnsi="楷体" w:eastAsia="楷体" w:cs="楷体"/>
                <w:bCs/>
                <w:sz w:val="21"/>
                <w:szCs w:val="21"/>
              </w:rPr>
            </w:pPr>
            <w:r>
              <w:rPr>
                <w:rFonts w:hint="eastAsia" w:ascii="楷体" w:hAnsi="楷体" w:eastAsia="楷体" w:cs="楷体"/>
                <w:bCs/>
                <w:sz w:val="21"/>
                <w:szCs w:val="21"/>
              </w:rPr>
              <w:t>9、自体系建立以来无合同更改情况</w:t>
            </w:r>
          </w:p>
          <w:p>
            <w:pPr>
              <w:rPr>
                <w:rFonts w:hint="eastAsia" w:ascii="楷体" w:hAnsi="楷体" w:eastAsia="楷体" w:cs="楷体"/>
                <w:bCs/>
                <w:sz w:val="21"/>
                <w:szCs w:val="21"/>
              </w:rPr>
            </w:pPr>
            <w:r>
              <w:rPr>
                <w:rFonts w:hint="eastAsia" w:ascii="楷体" w:hAnsi="楷体" w:eastAsia="楷体" w:cs="楷体"/>
                <w:bCs/>
                <w:sz w:val="21"/>
                <w:szCs w:val="21"/>
              </w:rPr>
              <w:t>销售人员称每次发货前要同客户说明发货产品，发货数量、到货日期，防止货物发送错误。</w:t>
            </w:r>
          </w:p>
          <w:p>
            <w:pPr>
              <w:rPr>
                <w:rFonts w:hint="eastAsia" w:ascii="楷体" w:hAnsi="楷体" w:eastAsia="楷体" w:cs="楷体"/>
                <w:bCs/>
                <w:sz w:val="21"/>
                <w:szCs w:val="21"/>
              </w:rPr>
            </w:pPr>
          </w:p>
          <w:p>
            <w:pPr>
              <w:rPr>
                <w:rFonts w:hint="eastAsia" w:ascii="楷体" w:hAnsi="楷体" w:eastAsia="楷体" w:cs="楷体"/>
                <w:bCs/>
                <w:sz w:val="21"/>
                <w:szCs w:val="21"/>
              </w:rPr>
            </w:pPr>
            <w:r>
              <w:rPr>
                <w:rFonts w:hint="eastAsia" w:ascii="楷体" w:hAnsi="楷体" w:eastAsia="楷体" w:cs="楷体"/>
                <w:b/>
                <w:sz w:val="21"/>
                <w:szCs w:val="21"/>
              </w:rPr>
              <w:t>放行控制</w:t>
            </w:r>
          </w:p>
          <w:p>
            <w:pPr>
              <w:rPr>
                <w:rFonts w:hint="eastAsia" w:ascii="楷体" w:hAnsi="楷体" w:eastAsia="楷体" w:cs="楷体"/>
                <w:bCs/>
                <w:sz w:val="21"/>
                <w:szCs w:val="21"/>
              </w:rPr>
            </w:pPr>
            <w:r>
              <w:rPr>
                <w:rFonts w:hint="eastAsia" w:ascii="楷体" w:hAnsi="楷体" w:eastAsia="楷体" w:cs="楷体"/>
                <w:bCs/>
                <w:sz w:val="21"/>
                <w:szCs w:val="21"/>
              </w:rPr>
              <w:t>公司通过员工服务质量考核等形式对销售服务过程进行监视和测量。</w:t>
            </w:r>
          </w:p>
          <w:p>
            <w:pPr>
              <w:rPr>
                <w:rFonts w:hint="eastAsia" w:ascii="楷体" w:hAnsi="楷体" w:eastAsia="楷体" w:cs="楷体"/>
                <w:b/>
                <w:color w:val="000000" w:themeColor="text1"/>
                <w:kern w:val="2"/>
                <w:sz w:val="21"/>
                <w:szCs w:val="21"/>
                <w:lang w:val="en-US" w:eastAsia="zh-CN" w:bidi="ar-SA"/>
              </w:rPr>
            </w:pPr>
            <w:r>
              <w:rPr>
                <w:rFonts w:hint="eastAsia" w:ascii="楷体" w:hAnsi="楷体" w:eastAsia="楷体" w:cs="楷体"/>
                <w:bCs/>
                <w:sz w:val="21"/>
                <w:szCs w:val="21"/>
              </w:rPr>
              <w:t>抽销售部检查记录、</w:t>
            </w:r>
            <w:r>
              <w:rPr>
                <w:rFonts w:hint="eastAsia" w:ascii="楷体" w:hAnsi="楷体" w:eastAsia="楷体" w:cs="楷体"/>
                <w:bCs/>
                <w:sz w:val="21"/>
                <w:szCs w:val="21"/>
                <w:lang w:val="en-GB"/>
              </w:rPr>
              <w:t>销售服务检查记录、顾客满意度调查表、</w:t>
            </w:r>
            <w:r>
              <w:rPr>
                <w:rFonts w:hint="eastAsia" w:ascii="楷体" w:hAnsi="楷体" w:eastAsia="楷体" w:cs="楷体"/>
                <w:bCs/>
                <w:sz w:val="21"/>
                <w:szCs w:val="21"/>
              </w:rPr>
              <w:t>产品验收记录、人员绩效考核，均保存完好，服务的放行受控。符合要求。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销售部经理介绍到公司产品销售由客户提出要货需求，公司在确定产品和要求时，对以下方面进行了考虑：交付时间、产品的质量、产品的价格、产品的特别要求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企业通过电话、客户了解市场的需求状态，识别顾客要求。通过适用法律法规、行业标准收集、分析、评价了解行业发展要求。通过对竞争对手分析确定公司的发展市场。</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查销售过程控制记录：抽查合同及合同评审记录，符合要求。</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公司通过传真、邮件及电话等方式与顾客交流，主要进行以下沟通：</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1、向顾客提供保证产品质量的有关信息，保修及应急措施</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2、接受顾客问询、询价、合同的处理。</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3、根据合同要求进行有关的事宜，对顾客的投诉或意见进行处理和答复。</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4、合理处理顾客财产，主要是顾客报修产品。目前沟通渠道畅通</w:t>
            </w:r>
          </w:p>
          <w:p>
            <w:pPr>
              <w:spacing w:line="240" w:lineRule="exact"/>
              <w:ind w:firstLine="210" w:firstLineChars="100"/>
              <w:rPr>
                <w:rFonts w:hint="eastAsia" w:ascii="楷体" w:hAnsi="楷体" w:eastAsia="楷体" w:cs="楷体"/>
                <w:b/>
                <w:color w:val="000000" w:themeColor="text1"/>
                <w:sz w:val="21"/>
                <w:szCs w:val="21"/>
              </w:rPr>
            </w:pPr>
            <w:r>
              <w:rPr>
                <w:rFonts w:hint="eastAsia" w:ascii="楷体" w:hAnsi="楷体" w:eastAsia="楷体" w:cs="楷体"/>
                <w:bCs/>
                <w:color w:val="000000" w:themeColor="text1"/>
                <w:sz w:val="21"/>
                <w:szCs w:val="21"/>
              </w:rPr>
              <w:t>目前无合同更改情况发生。</w:t>
            </w:r>
          </w:p>
          <w:p>
            <w:pPr>
              <w:spacing w:line="240" w:lineRule="exact"/>
              <w:ind w:firstLine="201" w:firstLineChars="100"/>
              <w:rPr>
                <w:b/>
                <w:color w:val="000000" w:themeColor="text1"/>
                <w:sz w:val="20"/>
                <w:szCs w:val="20"/>
              </w:rPr>
            </w:pP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企业提供的《不合格品控制程序》中规定了对不合格品的标识、隔离、记录评审和处置的控制要求。组织采购产品验收相关文件规定，采购/销售产品交付客户指定场所后客户组织产品验收，验收过程中发现不合格品直接退回供方单位，并要求做好验收确认记录；销售和过程中不不合格以口头、书面信息向相关责任部门/人员反馈，并责令改进,如道歉等。未发现批量的采购/销售产品不合格,以及销售和服务过程不合格。</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抽不符合记录，企业目前为止未发生不符合事件。</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内审过程中发现的不符合已经整改，符合要求。</w:t>
            </w:r>
          </w:p>
          <w:p>
            <w:pPr>
              <w:spacing w:line="240" w:lineRule="exact"/>
              <w:rPr>
                <w:b/>
                <w:color w:val="000000" w:themeColor="text1"/>
                <w:sz w:val="20"/>
                <w:szCs w:val="20"/>
              </w:rPr>
            </w:pPr>
            <w:r>
              <w:rPr>
                <w:rFonts w:hint="eastAsia" w:ascii="楷体" w:hAnsi="楷体" w:eastAsia="楷体" w:cs="楷体"/>
                <w:bCs/>
                <w:color w:val="000000" w:themeColor="text1"/>
                <w:sz w:val="21"/>
                <w:szCs w:val="21"/>
              </w:rPr>
              <w:t xml:space="preserve">  产品和销售和服务过程监视和测量过程中有导入风险思维，主要有通过加强员工培训，加大监督和检查力度等措施，以达到预防措施的目的。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eastAsia="宋体"/>
                <w:b/>
                <w:color w:val="000000" w:themeColor="text1"/>
                <w:sz w:val="20"/>
                <w:szCs w:val="20"/>
                <w:lang w:val="en-US" w:eastAsia="zh-CN"/>
              </w:rPr>
            </w:pPr>
            <w:r>
              <w:rPr>
                <w:rFonts w:hint="eastAsia"/>
                <w:b/>
                <w:color w:val="000000" w:themeColor="text1"/>
                <w:sz w:val="20"/>
                <w:szCs w:val="20"/>
              </w:rPr>
              <w:t>11 .对危险化学品销售、使用、储存、运输处置，规定的执行力度(必要时);</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公司总的质量目标为：</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顾客满意度≥95%；</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 xml:space="preserve">合同履约率100% </w:t>
            </w:r>
          </w:p>
          <w:p>
            <w:pPr>
              <w:spacing w:line="240" w:lineRule="exact"/>
              <w:rPr>
                <w:rFonts w:hint="eastAsia" w:eastAsia="宋体"/>
                <w:b/>
                <w:color w:val="000000" w:themeColor="text1"/>
                <w:sz w:val="20"/>
                <w:szCs w:val="20"/>
                <w:lang w:eastAsia="zh-CN"/>
              </w:rPr>
            </w:pPr>
            <w:r>
              <w:rPr>
                <w:rFonts w:hint="eastAsia" w:ascii="楷体" w:hAnsi="楷体" w:eastAsia="楷体" w:cs="楷体"/>
                <w:bCs/>
                <w:color w:val="000000" w:themeColor="text1"/>
                <w:sz w:val="21"/>
                <w:szCs w:val="21"/>
              </w:rPr>
              <w:t>2020年</w:t>
            </w:r>
            <w:r>
              <w:rPr>
                <w:rFonts w:hint="eastAsia" w:ascii="楷体" w:hAnsi="楷体" w:eastAsia="楷体" w:cs="楷体"/>
                <w:bCs/>
                <w:color w:val="000000" w:themeColor="text1"/>
                <w:sz w:val="21"/>
                <w:szCs w:val="21"/>
                <w:lang w:val="en-US" w:eastAsia="zh-CN"/>
              </w:rPr>
              <w:t>度</w:t>
            </w:r>
            <w:r>
              <w:rPr>
                <w:rFonts w:hint="eastAsia" w:ascii="楷体" w:hAnsi="楷体" w:eastAsia="楷体" w:cs="楷体"/>
                <w:bCs/>
                <w:color w:val="000000" w:themeColor="text1"/>
                <w:sz w:val="21"/>
                <w:szCs w:val="21"/>
              </w:rPr>
              <w:t>目标完成情况：均完成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numPr>
                <w:ilvl w:val="0"/>
                <w:numId w:val="6"/>
              </w:numPr>
              <w:spacing w:line="240" w:lineRule="exact"/>
              <w:ind w:left="100" w:hanging="100" w:hangingChars="50"/>
              <w:rPr>
                <w:b/>
                <w:color w:val="000000" w:themeColor="text1"/>
                <w:sz w:val="20"/>
                <w:szCs w:val="20"/>
              </w:rPr>
            </w:pPr>
            <w:r>
              <w:rPr>
                <w:rFonts w:hint="eastAsia"/>
                <w:b/>
                <w:color w:val="000000" w:themeColor="text1"/>
                <w:sz w:val="20"/>
                <w:szCs w:val="20"/>
              </w:rPr>
              <w:t>顾客满意</w:t>
            </w:r>
          </w:p>
          <w:p>
            <w:pPr>
              <w:spacing w:line="240" w:lineRule="exact"/>
              <w:ind w:firstLine="420" w:firstLineChars="200"/>
              <w:rPr>
                <w:b/>
                <w:color w:val="000000" w:themeColor="text1"/>
                <w:sz w:val="20"/>
                <w:szCs w:val="20"/>
              </w:rPr>
            </w:pPr>
            <w:r>
              <w:rPr>
                <w:rFonts w:hint="eastAsia" w:ascii="楷体" w:hAnsi="楷体" w:eastAsia="楷体" w:cs="楷体"/>
                <w:bCs/>
                <w:color w:val="000000" w:themeColor="text1"/>
                <w:sz w:val="21"/>
                <w:szCs w:val="21"/>
              </w:rPr>
              <w:t>企业对顾客对产品是否满意的信息进行监视，并编制《顾客满意情况调查表》。对调查表中各项目进行测算，公司对主要客户进行了电话问卷调查，分别对质量、价格、交货期、售后服务等内容进行调查，客户均对相关内容进行了反馈，从统计数据中可以看出，顾客满意度平均分为</w:t>
            </w:r>
            <w:r>
              <w:rPr>
                <w:rFonts w:hint="eastAsia" w:ascii="楷体" w:hAnsi="楷体" w:eastAsia="楷体" w:cs="楷体"/>
                <w:bCs/>
                <w:color w:val="000000" w:themeColor="text1"/>
                <w:sz w:val="21"/>
                <w:szCs w:val="21"/>
                <w:lang w:val="en-US" w:eastAsia="zh-CN"/>
              </w:rPr>
              <w:t>96.5</w:t>
            </w:r>
            <w:r>
              <w:rPr>
                <w:rFonts w:hint="eastAsia" w:ascii="楷体" w:hAnsi="楷体" w:eastAsia="楷体" w:cs="楷体"/>
                <w:bCs/>
                <w:color w:val="000000" w:themeColor="text1"/>
                <w:sz w:val="21"/>
                <w:szCs w:val="21"/>
              </w:rPr>
              <w:t>%，超过了质量目标要求，目标完成。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rPr>
                <w:rFonts w:hint="eastAsia" w:ascii="楷体" w:hAnsi="楷体" w:eastAsia="楷体" w:cs="楷体"/>
                <w:bCs/>
                <w:sz w:val="21"/>
                <w:szCs w:val="21"/>
              </w:rPr>
            </w:pPr>
            <w:r>
              <w:rPr>
                <w:rFonts w:hint="eastAsia" w:ascii="楷体" w:hAnsi="楷体" w:eastAsia="楷体" w:cs="楷体"/>
                <w:bCs/>
                <w:sz w:val="21"/>
                <w:szCs w:val="21"/>
              </w:rPr>
              <w:t>公司制定了《内部审核控制程序》，文件规定每年至少进行一次内部审核，间隔时间不超过12个月。规定了审核的策划、实施、形成记录以及报告结果的要求。</w:t>
            </w:r>
          </w:p>
          <w:p>
            <w:pPr>
              <w:rPr>
                <w:rFonts w:hint="eastAsia" w:ascii="楷体" w:hAnsi="楷体" w:eastAsia="楷体" w:cs="楷体"/>
                <w:bCs/>
                <w:sz w:val="21"/>
                <w:szCs w:val="21"/>
              </w:rPr>
            </w:pPr>
            <w:r>
              <w:rPr>
                <w:rFonts w:hint="eastAsia" w:ascii="楷体" w:hAnsi="楷体" w:eastAsia="楷体" w:cs="楷体"/>
                <w:bCs/>
                <w:sz w:val="21"/>
                <w:szCs w:val="21"/>
              </w:rPr>
              <w:t>提供了《审核实施计划》，审核目的，范围、依据、审核时间、受审部门、日程安排、审核组长和成员等内容。</w:t>
            </w:r>
          </w:p>
          <w:p>
            <w:pPr>
              <w:rPr>
                <w:rFonts w:hint="eastAsia" w:ascii="楷体" w:hAnsi="楷体" w:eastAsia="楷体" w:cs="楷体"/>
                <w:bCs/>
                <w:sz w:val="21"/>
                <w:szCs w:val="21"/>
              </w:rPr>
            </w:pPr>
            <w:r>
              <w:rPr>
                <w:rFonts w:hint="eastAsia" w:ascii="楷体" w:hAnsi="楷体" w:eastAsia="楷体" w:cs="楷体"/>
                <w:bCs/>
                <w:sz w:val="21"/>
                <w:szCs w:val="21"/>
              </w:rPr>
              <w:t>内审时间：2020年9月16日</w:t>
            </w:r>
          </w:p>
          <w:p>
            <w:pPr>
              <w:rPr>
                <w:rFonts w:hint="eastAsia" w:ascii="楷体" w:hAnsi="楷体" w:eastAsia="楷体" w:cs="楷体"/>
                <w:bCs/>
                <w:sz w:val="21"/>
                <w:szCs w:val="21"/>
              </w:rPr>
            </w:pPr>
            <w:r>
              <w:rPr>
                <w:rFonts w:hint="eastAsia" w:ascii="楷体" w:hAnsi="楷体" w:eastAsia="楷体" w:cs="楷体"/>
                <w:bCs/>
                <w:sz w:val="21"/>
                <w:szCs w:val="21"/>
              </w:rPr>
              <w:t>依据GB/T19001-2016版标准，质量管理手册和体系其他文件。计划由总经理批准后实施。</w:t>
            </w:r>
          </w:p>
          <w:p>
            <w:pPr>
              <w:rPr>
                <w:rFonts w:hint="eastAsia" w:ascii="楷体" w:hAnsi="楷体" w:eastAsia="楷体" w:cs="楷体"/>
                <w:bCs/>
                <w:sz w:val="21"/>
                <w:szCs w:val="21"/>
              </w:rPr>
            </w:pPr>
            <w:r>
              <w:rPr>
                <w:rFonts w:hint="eastAsia" w:ascii="楷体" w:hAnsi="楷体" w:eastAsia="楷体" w:cs="楷体"/>
                <w:bCs/>
                <w:sz w:val="21"/>
                <w:szCs w:val="21"/>
              </w:rPr>
              <w:t>公司按计划实施了内审。</w:t>
            </w:r>
          </w:p>
          <w:p>
            <w:pPr>
              <w:rPr>
                <w:rFonts w:hint="eastAsia" w:ascii="楷体" w:hAnsi="楷体" w:eastAsia="楷体" w:cs="楷体"/>
                <w:bCs/>
                <w:sz w:val="21"/>
                <w:szCs w:val="21"/>
              </w:rPr>
            </w:pPr>
            <w:r>
              <w:rPr>
                <w:rFonts w:hint="eastAsia" w:ascii="楷体" w:hAnsi="楷体" w:eastAsia="楷体" w:cs="楷体"/>
                <w:bCs/>
                <w:sz w:val="21"/>
                <w:szCs w:val="21"/>
              </w:rPr>
              <w:t xml:space="preserve">提供了内审员任命书，写明了内审员任职要求及审核要求。内审员的安排考虑了审核过程的客观性和公正性，没有发现自己审核本部门的情况。  </w:t>
            </w:r>
          </w:p>
          <w:p>
            <w:pPr>
              <w:rPr>
                <w:rFonts w:hint="eastAsia" w:ascii="楷体" w:hAnsi="楷体" w:eastAsia="楷体" w:cs="楷体"/>
                <w:bCs/>
                <w:sz w:val="21"/>
                <w:szCs w:val="21"/>
              </w:rPr>
            </w:pPr>
            <w:r>
              <w:rPr>
                <w:rFonts w:hint="eastAsia" w:ascii="楷体" w:hAnsi="楷体" w:eastAsia="楷体" w:cs="楷体"/>
                <w:bCs/>
                <w:sz w:val="21"/>
                <w:szCs w:val="21"/>
              </w:rPr>
              <w:t>内审首末次会议签到（领导层、各部门负责人）；</w:t>
            </w:r>
          </w:p>
          <w:p>
            <w:pPr>
              <w:rPr>
                <w:rFonts w:hint="eastAsia" w:ascii="楷体" w:hAnsi="楷体" w:eastAsia="楷体" w:cs="楷体"/>
                <w:bCs/>
                <w:sz w:val="21"/>
                <w:szCs w:val="21"/>
              </w:rPr>
            </w:pPr>
            <w:r>
              <w:rPr>
                <w:rFonts w:hint="eastAsia" w:ascii="楷体" w:hAnsi="楷体" w:eastAsia="楷体" w:cs="楷体"/>
                <w:bCs/>
                <w:sz w:val="21"/>
                <w:szCs w:val="21"/>
              </w:rPr>
              <w:t>——内部审核检查表，审核按计划进行，没有遗漏标准条款及体系覆盖的部门和场所，内审员没有审核自己的工作</w:t>
            </w:r>
          </w:p>
          <w:p>
            <w:pPr>
              <w:rPr>
                <w:rFonts w:hint="eastAsia" w:ascii="楷体" w:hAnsi="楷体" w:eastAsia="楷体" w:cs="楷体"/>
                <w:bCs/>
                <w:sz w:val="21"/>
                <w:szCs w:val="21"/>
              </w:rPr>
            </w:pPr>
            <w:r>
              <w:rPr>
                <w:rFonts w:hint="eastAsia" w:ascii="楷体" w:hAnsi="楷体" w:eastAsia="楷体" w:cs="楷体"/>
                <w:bCs/>
                <w:sz w:val="21"/>
                <w:szCs w:val="21"/>
              </w:rPr>
              <w:t>内审不符合1项，已整改验收合格。</w:t>
            </w:r>
          </w:p>
          <w:p>
            <w:pPr>
              <w:rPr>
                <w:rFonts w:hint="eastAsia" w:ascii="楷体" w:hAnsi="楷体" w:eastAsia="楷体" w:cs="楷体"/>
                <w:bCs/>
                <w:sz w:val="21"/>
                <w:szCs w:val="21"/>
              </w:rPr>
            </w:pPr>
            <w:r>
              <w:rPr>
                <w:rFonts w:hint="eastAsia" w:ascii="楷体" w:hAnsi="楷体" w:eastAsia="楷体" w:cs="楷体"/>
                <w:bCs/>
                <w:sz w:val="21"/>
                <w:szCs w:val="21"/>
              </w:rPr>
              <w:t>内审结论：本次审核中已发现的1个不合格项已以不合格报告的形式下达到有关部门，各部门的负责人应亲自主持原因的分析，针对原因制订纠正措施，制订的措施要按计划实施，实施的效果要认真加以验证并提供足够的证据，全部不合格报告的封闭，务必在一月内完成。</w:t>
            </w:r>
          </w:p>
          <w:p>
            <w:pPr>
              <w:rPr>
                <w:rFonts w:hint="eastAsia" w:ascii="楷体" w:hAnsi="楷体" w:eastAsia="楷体" w:cs="楷体"/>
                <w:bCs/>
                <w:sz w:val="21"/>
                <w:szCs w:val="21"/>
              </w:rPr>
            </w:pPr>
            <w:r>
              <w:rPr>
                <w:rFonts w:hint="eastAsia" w:ascii="楷体" w:hAnsi="楷体" w:eastAsia="楷体" w:cs="楷体"/>
                <w:bCs/>
                <w:sz w:val="21"/>
                <w:szCs w:val="21"/>
              </w:rPr>
              <w:t>内审报告显示本公司的质量体系均运行良好。</w:t>
            </w:r>
          </w:p>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提供管理评审资料：</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公司制定了编号：《管理评审控制程序》，文件规定每年至少进行一次管理评审。总经理于2020年09月25日组织进行了一次管理评审。</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查《管理评审计划》写明了时间、地点、参与人员、评审内容等。总经理批准。</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提管理供《评审报告》，对评审情况进行了总结，各部门对各过程和活动进行了总结和讨论。</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评审结论：公司的质量管理体系运行全面展开，收到良好的效果，经评审认为本公司的质量管理体系的建立和运行是充分的、适宜的、有效的。</w:t>
            </w:r>
          </w:p>
          <w:p>
            <w:pPr>
              <w:spacing w:line="240" w:lineRule="exact"/>
              <w:rPr>
                <w:rFonts w:hint="eastAsia" w:ascii="楷体" w:hAnsi="楷体" w:eastAsia="楷体" w:cs="楷体"/>
                <w:bCs/>
                <w:color w:val="000000" w:themeColor="text1"/>
                <w:sz w:val="21"/>
                <w:szCs w:val="21"/>
              </w:rPr>
            </w:pPr>
            <w:r>
              <w:rPr>
                <w:rFonts w:hint="eastAsia" w:ascii="楷体" w:hAnsi="楷体" w:eastAsia="楷体" w:cs="楷体"/>
                <w:bCs/>
                <w:color w:val="000000" w:themeColor="text1"/>
                <w:sz w:val="21"/>
                <w:szCs w:val="21"/>
              </w:rPr>
              <w:t>做出如下改进决定：公司有关人员对标准ISO9001的理解不够深刻，要求各部门负责人应加强公司质量管理体系文件的认真再学习，并充分理解，树立法制管理的观念，严格执行公司的法规性的质量管理体系文件，决定在两周之内由办公室组织相关人员再进行1次针对标准和管理手册的培训。</w:t>
            </w:r>
          </w:p>
          <w:p>
            <w:pPr>
              <w:spacing w:line="240" w:lineRule="exact"/>
              <w:rPr>
                <w:b/>
                <w:color w:val="000000" w:themeColor="text1"/>
                <w:sz w:val="20"/>
                <w:szCs w:val="20"/>
              </w:rPr>
            </w:pPr>
            <w:r>
              <w:rPr>
                <w:rFonts w:hint="eastAsia" w:ascii="楷体" w:hAnsi="楷体" w:eastAsia="楷体" w:cs="楷体"/>
                <w:bCs/>
                <w:color w:val="000000" w:themeColor="text1"/>
                <w:sz w:val="21"/>
                <w:szCs w:val="21"/>
              </w:rPr>
              <w:t>抽改进措施实施整改情况：已完成，查看培训记录，符合要求。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rPr>
                <w:rFonts w:hint="eastAsia" w:ascii="楷体" w:hAnsi="楷体" w:eastAsia="楷体" w:cs="楷体"/>
                <w:bCs/>
                <w:sz w:val="21"/>
                <w:szCs w:val="21"/>
              </w:rPr>
            </w:pPr>
            <w:r>
              <w:rPr>
                <w:rFonts w:hint="eastAsia" w:ascii="楷体" w:hAnsi="楷体" w:eastAsia="楷体" w:cs="楷体"/>
                <w:bCs/>
                <w:sz w:val="21"/>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pPr>
              <w:rPr>
                <w:rFonts w:hint="eastAsia" w:ascii="楷体" w:hAnsi="楷体" w:eastAsia="楷体" w:cs="楷体"/>
                <w:bCs/>
                <w:sz w:val="21"/>
                <w:szCs w:val="21"/>
              </w:rPr>
            </w:pPr>
            <w:r>
              <w:rPr>
                <w:rFonts w:hint="eastAsia" w:ascii="楷体" w:hAnsi="楷体" w:eastAsia="楷体" w:cs="楷体"/>
                <w:bCs/>
                <w:sz w:val="21"/>
                <w:szCs w:val="21"/>
              </w:rPr>
              <w:t>企业有充分识别和评价存在的改进机会，以持续满足顾客和相关方要求改进的方法措施包括：</w:t>
            </w:r>
          </w:p>
          <w:p>
            <w:pPr>
              <w:rPr>
                <w:rFonts w:hint="eastAsia" w:ascii="楷体" w:hAnsi="楷体" w:eastAsia="楷体" w:cs="楷体"/>
                <w:bCs/>
                <w:sz w:val="21"/>
                <w:szCs w:val="21"/>
              </w:rPr>
            </w:pPr>
            <w:r>
              <w:rPr>
                <w:rFonts w:hint="eastAsia" w:ascii="楷体" w:hAnsi="楷体" w:eastAsia="楷体" w:cs="楷体"/>
                <w:bCs/>
                <w:sz w:val="21"/>
                <w:szCs w:val="21"/>
              </w:rPr>
              <w:t>1）引导创新、修改和改进现有过程或实施新过程的突破项目；</w:t>
            </w:r>
          </w:p>
          <w:p>
            <w:pPr>
              <w:rPr>
                <w:rFonts w:hint="eastAsia" w:ascii="楷体" w:hAnsi="楷体" w:eastAsia="楷体" w:cs="楷体"/>
                <w:bCs/>
                <w:sz w:val="21"/>
                <w:szCs w:val="21"/>
              </w:rPr>
            </w:pPr>
            <w:r>
              <w:rPr>
                <w:rFonts w:hint="eastAsia" w:ascii="楷体" w:hAnsi="楷体" w:eastAsia="楷体" w:cs="楷体"/>
                <w:bCs/>
                <w:sz w:val="21"/>
                <w:szCs w:val="21"/>
              </w:rPr>
              <w:t>2）在现有过程中开展渐进、持续的改进活动；</w:t>
            </w:r>
          </w:p>
          <w:p>
            <w:pPr>
              <w:spacing w:line="240" w:lineRule="exact"/>
              <w:rPr>
                <w:rFonts w:hint="eastAsia" w:ascii="楷体" w:hAnsi="楷体" w:eastAsia="楷体" w:cs="楷体"/>
                <w:bCs/>
                <w:sz w:val="21"/>
                <w:szCs w:val="21"/>
              </w:rPr>
            </w:pPr>
            <w:r>
              <w:rPr>
                <w:rFonts w:hint="eastAsia" w:ascii="楷体" w:hAnsi="楷体" w:eastAsia="楷体" w:cs="楷体"/>
                <w:bCs/>
                <w:sz w:val="21"/>
                <w:szCs w:val="21"/>
              </w:rPr>
              <w:t>3）纠正所存在不符合的原因等。</w:t>
            </w:r>
          </w:p>
          <w:p>
            <w:pPr>
              <w:spacing w:line="240" w:lineRule="exact"/>
              <w:rPr>
                <w:rFonts w:hint="eastAsia" w:ascii="楷体" w:hAnsi="楷体" w:eastAsia="楷体" w:cs="楷体"/>
                <w:bCs/>
                <w:sz w:val="21"/>
                <w:szCs w:val="21"/>
              </w:rPr>
            </w:pPr>
          </w:p>
          <w:p>
            <w:pPr>
              <w:rPr>
                <w:rFonts w:hint="eastAsia" w:ascii="楷体" w:hAnsi="楷体" w:eastAsia="楷体" w:cs="楷体"/>
                <w:bCs/>
                <w:sz w:val="21"/>
                <w:szCs w:val="21"/>
              </w:rPr>
            </w:pPr>
            <w:r>
              <w:rPr>
                <w:rFonts w:hint="eastAsia" w:ascii="楷体" w:hAnsi="楷体" w:eastAsia="楷体" w:cs="楷体"/>
                <w:bCs/>
                <w:sz w:val="21"/>
                <w:szCs w:val="21"/>
              </w:rPr>
              <w:t xml:space="preserve">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w:t>
            </w:r>
          </w:p>
          <w:p>
            <w:pPr>
              <w:spacing w:line="240" w:lineRule="exact"/>
              <w:rPr>
                <w:b/>
                <w:color w:val="000000" w:themeColor="text1"/>
                <w:sz w:val="20"/>
                <w:szCs w:val="20"/>
              </w:rPr>
            </w:pPr>
            <w:r>
              <w:rPr>
                <w:rFonts w:hint="eastAsia" w:ascii="楷体" w:hAnsi="楷体" w:eastAsia="楷体" w:cs="楷体"/>
                <w:bCs/>
                <w:sz w:val="21"/>
                <w:szCs w:val="21"/>
              </w:rPr>
              <w:t>日常监视和测量过程中发现的不合格、不符合要求相关责任部门及时制定相应的改进、纠正和纠正措施，以实管理体系的持续改进</w:t>
            </w:r>
            <w:r>
              <w:rPr>
                <w:rFonts w:hint="eastAsia" w:ascii="楷体" w:hAnsi="楷体" w:eastAsia="楷体" w:cs="楷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7"/>
              </w:numPr>
              <w:spacing w:line="240" w:lineRule="exact"/>
              <w:rPr>
                <w:rFonts w:hint="eastAsia"/>
              </w:rPr>
            </w:pPr>
            <w:r>
              <w:rPr>
                <w:rFonts w:hint="eastAsia"/>
              </w:rPr>
              <w:t>上次不符合的整改情况（再认证填写）</w:t>
            </w:r>
          </w:p>
          <w:p>
            <w:pPr>
              <w:spacing w:before="120" w:line="160" w:lineRule="exact"/>
              <w:rPr>
                <w:rFonts w:hint="eastAsia" w:ascii="楷体" w:hAnsi="楷体" w:eastAsia="楷体" w:cs="楷体"/>
                <w:b w:val="0"/>
                <w:bCs w:val="0"/>
                <w:sz w:val="21"/>
                <w:szCs w:val="21"/>
              </w:rPr>
            </w:pPr>
            <w:r>
              <w:rPr>
                <w:rFonts w:hint="eastAsia" w:ascii="楷体" w:hAnsi="楷体" w:eastAsia="楷体" w:cs="楷体"/>
                <w:b w:val="0"/>
                <w:bCs w:val="0"/>
                <w:sz w:val="21"/>
                <w:szCs w:val="21"/>
                <w:lang w:val="en-US" w:eastAsia="zh-CN"/>
              </w:rPr>
              <w:t>远程审核不符合验证：2020年10月3日远程审核：</w:t>
            </w:r>
            <w:r>
              <w:rPr>
                <w:rFonts w:hint="eastAsia" w:ascii="楷体" w:hAnsi="楷体" w:eastAsia="楷体" w:cs="楷体"/>
                <w:b w:val="0"/>
                <w:bCs w:val="0"/>
                <w:sz w:val="21"/>
                <w:szCs w:val="21"/>
              </w:rPr>
              <w:t>企业未能提供对供方 “十堰富士康工贸有限公司”</w:t>
            </w:r>
          </w:p>
          <w:p>
            <w:pPr>
              <w:spacing w:before="120" w:line="160" w:lineRule="exact"/>
              <w:rPr>
                <w:rFonts w:hint="eastAsia" w:ascii="楷体" w:hAnsi="楷体" w:eastAsia="楷体" w:cs="楷体"/>
                <w:b w:val="0"/>
                <w:bCs w:val="0"/>
                <w:sz w:val="21"/>
                <w:szCs w:val="21"/>
              </w:rPr>
            </w:pPr>
            <w:r>
              <w:rPr>
                <w:rFonts w:hint="eastAsia" w:ascii="楷体" w:hAnsi="楷体" w:eastAsia="楷体" w:cs="楷体"/>
                <w:b w:val="0"/>
                <w:bCs w:val="0"/>
                <w:sz w:val="21"/>
                <w:szCs w:val="21"/>
              </w:rPr>
              <w:t>进行评价的证据</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rPr>
              <w:t>不符合已整改，符合要求</w:t>
            </w:r>
            <w:r>
              <w:rPr>
                <w:rFonts w:hint="eastAsia" w:ascii="楷体" w:hAnsi="楷体" w:eastAsia="楷体" w:cs="楷体"/>
                <w:b w:val="0"/>
                <w:bCs w:val="0"/>
                <w:sz w:val="21"/>
                <w:szCs w:val="21"/>
                <w:lang w:eastAsia="zh-CN"/>
              </w:rPr>
              <w:t>，</w:t>
            </w:r>
            <w:r>
              <w:rPr>
                <w:rFonts w:hint="eastAsia" w:ascii="楷体" w:hAnsi="楷体" w:eastAsia="楷体" w:cs="楷体"/>
                <w:b w:val="0"/>
                <w:bCs w:val="0"/>
                <w:sz w:val="21"/>
                <w:szCs w:val="21"/>
                <w:lang w:val="en-US" w:eastAsia="zh-CN"/>
              </w:rPr>
              <w:t xml:space="preserve"> 本次补充审核</w:t>
            </w:r>
            <w:r>
              <w:rPr>
                <w:rFonts w:hint="eastAsia" w:ascii="楷体" w:hAnsi="楷体" w:eastAsia="楷体" w:cs="楷体"/>
                <w:b w:val="0"/>
                <w:bCs w:val="0"/>
                <w:sz w:val="21"/>
                <w:szCs w:val="21"/>
              </w:rPr>
              <w:t>未发生类似不符合</w:t>
            </w:r>
          </w:p>
          <w:p>
            <w:pPr>
              <w:pStyle w:val="2"/>
              <w:numPr>
                <w:ilvl w:val="0"/>
                <w:numId w:val="0"/>
              </w:numPr>
            </w:pP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0</w:t>
      </w:r>
      <w:r>
        <w:rPr>
          <w:rFonts w:hint="eastAsia"/>
          <w:b/>
          <w:color w:val="000000" w:themeColor="text1"/>
        </w:rPr>
        <w:t>项；其中</w:t>
      </w:r>
      <w:r>
        <w:rPr>
          <w:b/>
          <w:color w:val="000000" w:themeColor="text1"/>
        </w:rPr>
        <w:pict>
          <v:line id="直接连接符 1" o:spid="_x0000_s2052"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0</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pStyle w:val="17"/>
              <w:spacing w:line="340" w:lineRule="exact"/>
              <w:ind w:left="1453" w:hanging="1033"/>
              <w:rPr>
                <w:rFonts w:hint="eastAsia" w:ascii="楷体" w:hAnsi="楷体" w:eastAsia="楷体" w:cs="楷体"/>
                <w:b w:val="0"/>
                <w:bCs w:val="0"/>
                <w:color w:val="auto"/>
                <w:kern w:val="2"/>
                <w:sz w:val="21"/>
                <w:szCs w:val="21"/>
                <w:lang w:val="en-GB"/>
              </w:rPr>
            </w:pPr>
            <w:r>
              <w:rPr>
                <w:rFonts w:hint="eastAsia" w:ascii="楷体" w:hAnsi="楷体" w:eastAsia="楷体" w:cs="楷体"/>
                <w:b w:val="0"/>
                <w:bCs w:val="0"/>
                <w:color w:val="auto"/>
                <w:kern w:val="2"/>
                <w:sz w:val="21"/>
                <w:szCs w:val="21"/>
                <w:lang w:val="en-GB"/>
              </w:rPr>
              <w:t xml:space="preserve">根据审核发现，审核组一致认为， </w:t>
            </w:r>
            <w:r>
              <w:rPr>
                <w:rFonts w:hint="eastAsia" w:ascii="楷体" w:hAnsi="楷体" w:eastAsia="楷体" w:cs="楷体"/>
                <w:b w:val="0"/>
                <w:bCs w:val="0"/>
                <w:color w:val="auto"/>
                <w:sz w:val="21"/>
                <w:szCs w:val="21"/>
                <w:lang w:val="en-GB"/>
              </w:rPr>
              <w:t xml:space="preserve"> </w:t>
            </w:r>
            <w:r>
              <w:rPr>
                <w:rFonts w:hint="eastAsia" w:ascii="楷体" w:hAnsi="楷体" w:eastAsia="楷体" w:cs="楷体"/>
                <w:b/>
                <w:color w:val="000000" w:themeColor="text1"/>
                <w:sz w:val="21"/>
                <w:szCs w:val="21"/>
              </w:rPr>
              <w:t>十堰捷恒工贸有限公司</w:t>
            </w:r>
            <w:r>
              <w:rPr>
                <w:rFonts w:hint="eastAsia" w:ascii="楷体" w:hAnsi="楷体" w:eastAsia="楷体" w:cs="楷体"/>
                <w:b w:val="0"/>
                <w:bCs w:val="0"/>
                <w:color w:val="auto"/>
                <w:kern w:val="2"/>
                <w:sz w:val="21"/>
                <w:szCs w:val="21"/>
                <w:lang w:val="en-GB"/>
              </w:rPr>
              <w:t>的</w:t>
            </w:r>
          </w:p>
          <w:p>
            <w:pPr>
              <w:pStyle w:val="17"/>
              <w:spacing w:line="340" w:lineRule="exact"/>
              <w:ind w:left="1441"/>
              <w:rPr>
                <w:rFonts w:hint="eastAsia" w:ascii="楷体" w:hAnsi="楷体" w:eastAsia="楷体" w:cs="楷体"/>
                <w:b w:val="0"/>
                <w:bCs w:val="0"/>
                <w:color w:val="auto"/>
                <w:kern w:val="2"/>
                <w:sz w:val="21"/>
                <w:szCs w:val="21"/>
                <w:lang w:val="en-GB"/>
              </w:rPr>
            </w:pPr>
            <w:r>
              <w:rPr>
                <w:rFonts w:hint="eastAsia" w:ascii="楷体" w:hAnsi="楷体" w:eastAsia="楷体" w:cs="楷体"/>
                <w:b w:val="0"/>
                <w:bCs w:val="0"/>
                <w:color w:val="auto"/>
                <w:sz w:val="21"/>
                <w:szCs w:val="21"/>
              </w:rPr>
              <w:t>■</w:t>
            </w:r>
            <w:r>
              <w:rPr>
                <w:rFonts w:hint="eastAsia" w:ascii="楷体" w:hAnsi="楷体" w:eastAsia="楷体" w:cs="楷体"/>
                <w:b w:val="0"/>
                <w:bCs w:val="0"/>
                <w:color w:val="auto"/>
                <w:kern w:val="2"/>
                <w:sz w:val="21"/>
                <w:szCs w:val="21"/>
                <w:lang w:val="en-GB"/>
              </w:rPr>
              <w:t>质量</w:t>
            </w:r>
            <w:r>
              <w:rPr>
                <w:rFonts w:hint="eastAsia" w:ascii="楷体" w:hAnsi="楷体" w:eastAsia="楷体" w:cs="楷体"/>
                <w:b w:val="0"/>
                <w:bCs w:val="0"/>
                <w:color w:val="auto"/>
                <w:sz w:val="21"/>
                <w:szCs w:val="21"/>
              </w:rPr>
              <w:t>□</w:t>
            </w:r>
            <w:r>
              <w:rPr>
                <w:rFonts w:hint="eastAsia" w:ascii="楷体" w:hAnsi="楷体" w:eastAsia="楷体" w:cs="楷体"/>
                <w:b w:val="0"/>
                <w:bCs w:val="0"/>
                <w:color w:val="auto"/>
                <w:kern w:val="2"/>
                <w:sz w:val="21"/>
                <w:szCs w:val="21"/>
                <w:lang w:val="en-GB"/>
              </w:rPr>
              <w:t>环境</w:t>
            </w:r>
            <w:r>
              <w:rPr>
                <w:rFonts w:hint="eastAsia" w:ascii="楷体" w:hAnsi="楷体" w:eastAsia="楷体" w:cs="楷体"/>
                <w:b w:val="0"/>
                <w:bCs w:val="0"/>
                <w:color w:val="auto"/>
                <w:sz w:val="21"/>
                <w:szCs w:val="21"/>
              </w:rPr>
              <w:t>□</w:t>
            </w:r>
            <w:r>
              <w:rPr>
                <w:rFonts w:hint="eastAsia" w:ascii="楷体" w:hAnsi="楷体" w:eastAsia="楷体" w:cs="楷体"/>
                <w:b w:val="0"/>
                <w:bCs w:val="0"/>
                <w:color w:val="auto"/>
                <w:kern w:val="2"/>
                <w:sz w:val="21"/>
                <w:szCs w:val="21"/>
                <w:lang w:val="en-GB"/>
              </w:rPr>
              <w:t>职业健康安全</w:t>
            </w:r>
            <w:r>
              <w:rPr>
                <w:rFonts w:hint="eastAsia" w:ascii="楷体" w:hAnsi="楷体" w:eastAsia="楷体" w:cs="楷体"/>
                <w:b w:val="0"/>
                <w:bCs w:val="0"/>
                <w:color w:val="auto"/>
                <w:sz w:val="21"/>
                <w:szCs w:val="21"/>
              </w:rPr>
              <w:t>□</w:t>
            </w:r>
            <w:r>
              <w:rPr>
                <w:rFonts w:hint="eastAsia" w:ascii="楷体" w:hAnsi="楷体" w:eastAsia="楷体" w:cs="楷体"/>
                <w:b w:val="0"/>
                <w:bCs w:val="0"/>
                <w:color w:val="auto"/>
                <w:kern w:val="2"/>
                <w:sz w:val="21"/>
                <w:szCs w:val="21"/>
                <w:lang w:val="en-GB"/>
              </w:rPr>
              <w:t>食品安全 管理体系：</w:t>
            </w:r>
          </w:p>
          <w:tbl>
            <w:tblPr>
              <w:tblStyle w:val="7"/>
              <w:tblW w:w="0" w:type="auto"/>
              <w:tblInd w:w="1440"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7"/>
                    <w:spacing w:line="340" w:lineRule="exact"/>
                    <w:jc w:val="both"/>
                    <w:rPr>
                      <w:rFonts w:hint="eastAsia" w:ascii="楷体" w:hAnsi="楷体" w:eastAsia="楷体" w:cs="楷体"/>
                      <w:b w:val="0"/>
                      <w:bCs w:val="0"/>
                      <w:color w:val="auto"/>
                      <w:kern w:val="2"/>
                      <w:sz w:val="21"/>
                      <w:szCs w:val="21"/>
                      <w:lang w:val="en-GB"/>
                    </w:rPr>
                  </w:pPr>
                  <w:r>
                    <w:rPr>
                      <w:rFonts w:hint="eastAsia" w:ascii="楷体" w:hAnsi="楷体" w:eastAsia="楷体" w:cs="楷体"/>
                      <w:b w:val="0"/>
                      <w:bCs w:val="0"/>
                      <w:color w:val="auto"/>
                      <w:kern w:val="2"/>
                      <w:sz w:val="21"/>
                      <w:szCs w:val="21"/>
                      <w:lang w:val="en-GB"/>
                    </w:rPr>
                    <w:t>审核准则的要求</w:t>
                  </w:r>
                </w:p>
              </w:tc>
              <w:tc>
                <w:tcPr>
                  <w:tcW w:w="967" w:type="dxa"/>
                </w:tcPr>
                <w:p>
                  <w:pPr>
                    <w:pStyle w:val="17"/>
                    <w:spacing w:line="340" w:lineRule="exact"/>
                    <w:jc w:val="both"/>
                    <w:rPr>
                      <w:rFonts w:hint="eastAsia" w:ascii="楷体" w:hAnsi="楷体" w:eastAsia="楷体" w:cs="楷体"/>
                      <w:b w:val="0"/>
                      <w:bCs w:val="0"/>
                      <w:color w:val="auto"/>
                      <w:kern w:val="2"/>
                      <w:sz w:val="21"/>
                      <w:szCs w:val="21"/>
                      <w:lang w:val="en-GB"/>
                    </w:rPr>
                  </w:pPr>
                  <w:r>
                    <w:rPr>
                      <w:rFonts w:hint="eastAsia" w:ascii="楷体" w:hAnsi="楷体" w:eastAsia="楷体" w:cs="楷体"/>
                      <w:b w:val="0"/>
                      <w:bCs w:val="0"/>
                      <w:color w:val="auto"/>
                      <w:sz w:val="21"/>
                      <w:szCs w:val="21"/>
                    </w:rPr>
                    <w:t>■</w:t>
                  </w:r>
                  <w:r>
                    <w:rPr>
                      <w:rFonts w:hint="eastAsia" w:ascii="楷体" w:hAnsi="楷体" w:eastAsia="楷体" w:cs="楷体"/>
                      <w:b w:val="0"/>
                      <w:bCs w:val="0"/>
                      <w:color w:val="auto"/>
                      <w:kern w:val="2"/>
                      <w:sz w:val="21"/>
                      <w:szCs w:val="21"/>
                      <w:lang w:val="en-GB"/>
                    </w:rPr>
                    <w:t>符合</w:t>
                  </w:r>
                </w:p>
              </w:tc>
              <w:tc>
                <w:tcPr>
                  <w:tcW w:w="1134" w:type="dxa"/>
                </w:tcPr>
                <w:p>
                  <w:pPr>
                    <w:pStyle w:val="17"/>
                    <w:spacing w:line="340" w:lineRule="exact"/>
                    <w:jc w:val="both"/>
                    <w:rPr>
                      <w:rFonts w:hint="eastAsia" w:ascii="楷体" w:hAnsi="楷体" w:eastAsia="楷体" w:cs="楷体"/>
                      <w:b w:val="0"/>
                      <w:bCs w:val="0"/>
                      <w:color w:val="auto"/>
                      <w:kern w:val="2"/>
                      <w:sz w:val="21"/>
                      <w:szCs w:val="21"/>
                      <w:lang w:val="en-GB"/>
                    </w:rPr>
                  </w:pPr>
                  <w:r>
                    <w:rPr>
                      <w:rFonts w:hint="eastAsia" w:ascii="楷体" w:hAnsi="楷体" w:eastAsia="楷体" w:cs="楷体"/>
                      <w:b w:val="0"/>
                      <w:bCs w:val="0"/>
                      <w:color w:val="auto"/>
                      <w:sz w:val="21"/>
                      <w:szCs w:val="21"/>
                    </w:rPr>
                    <w:t>□</w:t>
                  </w:r>
                  <w:r>
                    <w:rPr>
                      <w:rFonts w:hint="eastAsia" w:ascii="楷体" w:hAnsi="楷体" w:eastAsia="楷体" w:cs="楷体"/>
                      <w:b w:val="0"/>
                      <w:bCs w:val="0"/>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7"/>
                    <w:spacing w:line="340" w:lineRule="exact"/>
                    <w:jc w:val="both"/>
                    <w:rPr>
                      <w:rFonts w:hint="eastAsia" w:ascii="楷体" w:hAnsi="楷体" w:eastAsia="楷体" w:cs="楷体"/>
                      <w:b w:val="0"/>
                      <w:bCs w:val="0"/>
                      <w:color w:val="auto"/>
                      <w:kern w:val="2"/>
                      <w:sz w:val="21"/>
                      <w:szCs w:val="21"/>
                      <w:lang w:val="en-GB"/>
                    </w:rPr>
                  </w:pPr>
                  <w:r>
                    <w:rPr>
                      <w:rFonts w:hint="eastAsia" w:ascii="楷体" w:hAnsi="楷体" w:eastAsia="楷体" w:cs="楷体"/>
                      <w:b w:val="0"/>
                      <w:bCs w:val="0"/>
                      <w:color w:val="auto"/>
                      <w:sz w:val="21"/>
                      <w:szCs w:val="21"/>
                    </w:rPr>
                    <w:t>适用要求</w:t>
                  </w:r>
                </w:p>
              </w:tc>
              <w:tc>
                <w:tcPr>
                  <w:tcW w:w="967" w:type="dxa"/>
                </w:tcPr>
                <w:p>
                  <w:pPr>
                    <w:pStyle w:val="17"/>
                    <w:spacing w:line="340" w:lineRule="exact"/>
                    <w:jc w:val="both"/>
                    <w:rPr>
                      <w:rFonts w:hint="eastAsia" w:ascii="楷体" w:hAnsi="楷体" w:eastAsia="楷体" w:cs="楷体"/>
                      <w:b w:val="0"/>
                      <w:bCs w:val="0"/>
                      <w:color w:val="auto"/>
                      <w:kern w:val="2"/>
                      <w:sz w:val="21"/>
                      <w:szCs w:val="21"/>
                      <w:lang w:val="en-GB"/>
                    </w:rPr>
                  </w:pPr>
                  <w:r>
                    <w:rPr>
                      <w:rFonts w:hint="eastAsia" w:ascii="楷体" w:hAnsi="楷体" w:eastAsia="楷体" w:cs="楷体"/>
                      <w:b w:val="0"/>
                      <w:bCs w:val="0"/>
                      <w:color w:val="auto"/>
                      <w:sz w:val="21"/>
                      <w:szCs w:val="21"/>
                    </w:rPr>
                    <w:t>■满足</w:t>
                  </w:r>
                </w:p>
              </w:tc>
              <w:tc>
                <w:tcPr>
                  <w:tcW w:w="1134" w:type="dxa"/>
                </w:tcPr>
                <w:p>
                  <w:pPr>
                    <w:pStyle w:val="17"/>
                    <w:spacing w:line="340" w:lineRule="exact"/>
                    <w:jc w:val="both"/>
                    <w:rPr>
                      <w:rFonts w:hint="eastAsia" w:ascii="楷体" w:hAnsi="楷体" w:eastAsia="楷体" w:cs="楷体"/>
                      <w:b w:val="0"/>
                      <w:bCs w:val="0"/>
                      <w:color w:val="auto"/>
                      <w:kern w:val="2"/>
                      <w:sz w:val="21"/>
                      <w:szCs w:val="21"/>
                      <w:lang w:val="en-GB"/>
                    </w:rPr>
                  </w:pPr>
                  <w:r>
                    <w:rPr>
                      <w:rFonts w:hint="eastAsia" w:ascii="楷体" w:hAnsi="楷体" w:eastAsia="楷体" w:cs="楷体"/>
                      <w:b w:val="0"/>
                      <w:bCs w:val="0"/>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7"/>
                    <w:spacing w:line="340" w:lineRule="exact"/>
                    <w:jc w:val="both"/>
                    <w:rPr>
                      <w:rFonts w:hint="eastAsia" w:ascii="楷体" w:hAnsi="楷体" w:eastAsia="楷体" w:cs="楷体"/>
                      <w:b w:val="0"/>
                      <w:bCs w:val="0"/>
                      <w:color w:val="auto"/>
                      <w:kern w:val="2"/>
                      <w:sz w:val="21"/>
                      <w:szCs w:val="21"/>
                      <w:lang w:val="en-GB"/>
                    </w:rPr>
                  </w:pPr>
                  <w:r>
                    <w:rPr>
                      <w:rFonts w:hint="eastAsia" w:ascii="楷体" w:hAnsi="楷体" w:eastAsia="楷体" w:cs="楷体"/>
                      <w:b w:val="0"/>
                      <w:bCs w:val="0"/>
                      <w:color w:val="auto"/>
                      <w:sz w:val="21"/>
                      <w:szCs w:val="21"/>
                    </w:rPr>
                    <w:t>实现预期结果的能力</w:t>
                  </w:r>
                </w:p>
              </w:tc>
              <w:tc>
                <w:tcPr>
                  <w:tcW w:w="967" w:type="dxa"/>
                </w:tcPr>
                <w:p>
                  <w:pPr>
                    <w:pStyle w:val="17"/>
                    <w:spacing w:line="340" w:lineRule="exact"/>
                    <w:jc w:val="both"/>
                    <w:rPr>
                      <w:rFonts w:hint="eastAsia" w:ascii="楷体" w:hAnsi="楷体" w:eastAsia="楷体" w:cs="楷体"/>
                      <w:b w:val="0"/>
                      <w:bCs w:val="0"/>
                      <w:color w:val="auto"/>
                      <w:kern w:val="2"/>
                      <w:sz w:val="21"/>
                      <w:szCs w:val="21"/>
                      <w:lang w:val="en-GB"/>
                    </w:rPr>
                  </w:pPr>
                  <w:r>
                    <w:rPr>
                      <w:rFonts w:hint="eastAsia" w:ascii="楷体" w:hAnsi="楷体" w:eastAsia="楷体" w:cs="楷体"/>
                      <w:b w:val="0"/>
                      <w:bCs w:val="0"/>
                      <w:color w:val="auto"/>
                      <w:sz w:val="21"/>
                      <w:szCs w:val="21"/>
                    </w:rPr>
                    <w:t>■满足</w:t>
                  </w:r>
                </w:p>
              </w:tc>
              <w:tc>
                <w:tcPr>
                  <w:tcW w:w="1134" w:type="dxa"/>
                </w:tcPr>
                <w:p>
                  <w:pPr>
                    <w:pStyle w:val="17"/>
                    <w:spacing w:line="340" w:lineRule="exact"/>
                    <w:jc w:val="both"/>
                    <w:rPr>
                      <w:rFonts w:hint="eastAsia" w:ascii="楷体" w:hAnsi="楷体" w:eastAsia="楷体" w:cs="楷体"/>
                      <w:b w:val="0"/>
                      <w:bCs w:val="0"/>
                      <w:color w:val="auto"/>
                      <w:kern w:val="2"/>
                      <w:sz w:val="21"/>
                      <w:szCs w:val="21"/>
                      <w:lang w:val="en-GB"/>
                    </w:rPr>
                  </w:pPr>
                  <w:r>
                    <w:rPr>
                      <w:rFonts w:hint="eastAsia" w:ascii="楷体" w:hAnsi="楷体" w:eastAsia="楷体" w:cs="楷体"/>
                      <w:b w:val="0"/>
                      <w:bCs w:val="0"/>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7"/>
                    <w:spacing w:line="340" w:lineRule="exact"/>
                    <w:jc w:val="both"/>
                    <w:rPr>
                      <w:rFonts w:hint="eastAsia" w:ascii="楷体" w:hAnsi="楷体" w:eastAsia="楷体" w:cs="楷体"/>
                      <w:b w:val="0"/>
                      <w:bCs w:val="0"/>
                      <w:color w:val="auto"/>
                      <w:kern w:val="2"/>
                      <w:sz w:val="21"/>
                      <w:szCs w:val="21"/>
                      <w:lang w:val="en-GB"/>
                    </w:rPr>
                  </w:pPr>
                  <w:r>
                    <w:rPr>
                      <w:rFonts w:hint="eastAsia" w:ascii="楷体" w:hAnsi="楷体" w:eastAsia="楷体" w:cs="楷体"/>
                      <w:b w:val="0"/>
                      <w:bCs w:val="0"/>
                      <w:color w:val="auto"/>
                      <w:sz w:val="21"/>
                      <w:szCs w:val="21"/>
                    </w:rPr>
                    <w:t>内部审核和管理评审过程</w:t>
                  </w:r>
                </w:p>
              </w:tc>
              <w:tc>
                <w:tcPr>
                  <w:tcW w:w="967" w:type="dxa"/>
                </w:tcPr>
                <w:p>
                  <w:pPr>
                    <w:pStyle w:val="17"/>
                    <w:spacing w:line="340" w:lineRule="exact"/>
                    <w:jc w:val="both"/>
                    <w:rPr>
                      <w:rFonts w:hint="eastAsia" w:ascii="楷体" w:hAnsi="楷体" w:eastAsia="楷体" w:cs="楷体"/>
                      <w:b w:val="0"/>
                      <w:bCs w:val="0"/>
                      <w:color w:val="auto"/>
                      <w:kern w:val="2"/>
                      <w:sz w:val="21"/>
                      <w:szCs w:val="21"/>
                      <w:lang w:val="en-GB"/>
                    </w:rPr>
                  </w:pPr>
                  <w:r>
                    <w:rPr>
                      <w:rFonts w:hint="eastAsia" w:ascii="楷体" w:hAnsi="楷体" w:eastAsia="楷体" w:cs="楷体"/>
                      <w:b w:val="0"/>
                      <w:bCs w:val="0"/>
                      <w:color w:val="auto"/>
                      <w:sz w:val="21"/>
                      <w:szCs w:val="21"/>
                    </w:rPr>
                    <w:t>■有效</w:t>
                  </w:r>
                </w:p>
              </w:tc>
              <w:tc>
                <w:tcPr>
                  <w:tcW w:w="1134" w:type="dxa"/>
                </w:tcPr>
                <w:p>
                  <w:pPr>
                    <w:pStyle w:val="17"/>
                    <w:spacing w:line="340" w:lineRule="exact"/>
                    <w:jc w:val="both"/>
                    <w:rPr>
                      <w:rFonts w:hint="eastAsia" w:ascii="楷体" w:hAnsi="楷体" w:eastAsia="楷体" w:cs="楷体"/>
                      <w:b w:val="0"/>
                      <w:bCs w:val="0"/>
                      <w:color w:val="auto"/>
                      <w:kern w:val="2"/>
                      <w:sz w:val="21"/>
                      <w:szCs w:val="21"/>
                      <w:lang w:val="en-GB"/>
                    </w:rPr>
                  </w:pPr>
                  <w:r>
                    <w:rPr>
                      <w:rFonts w:hint="eastAsia" w:ascii="楷体" w:hAnsi="楷体" w:eastAsia="楷体" w:cs="楷体"/>
                      <w:b w:val="0"/>
                      <w:bCs w:val="0"/>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7"/>
                    <w:spacing w:line="340" w:lineRule="exact"/>
                    <w:jc w:val="both"/>
                    <w:rPr>
                      <w:rFonts w:hint="eastAsia" w:ascii="楷体" w:hAnsi="楷体" w:eastAsia="楷体" w:cs="楷体"/>
                      <w:b w:val="0"/>
                      <w:bCs w:val="0"/>
                      <w:color w:val="auto"/>
                      <w:kern w:val="2"/>
                      <w:sz w:val="21"/>
                      <w:szCs w:val="21"/>
                      <w:lang w:val="en-GB"/>
                    </w:rPr>
                  </w:pPr>
                  <w:r>
                    <w:rPr>
                      <w:rFonts w:hint="eastAsia" w:ascii="楷体" w:hAnsi="楷体" w:eastAsia="楷体" w:cs="楷体"/>
                      <w:b w:val="0"/>
                      <w:bCs w:val="0"/>
                      <w:color w:val="auto"/>
                      <w:sz w:val="21"/>
                      <w:szCs w:val="21"/>
                    </w:rPr>
                    <w:t>审核目的</w:t>
                  </w:r>
                </w:p>
              </w:tc>
              <w:tc>
                <w:tcPr>
                  <w:tcW w:w="967" w:type="dxa"/>
                </w:tcPr>
                <w:p>
                  <w:pPr>
                    <w:pStyle w:val="17"/>
                    <w:spacing w:line="340" w:lineRule="exact"/>
                    <w:jc w:val="both"/>
                    <w:rPr>
                      <w:rFonts w:hint="eastAsia" w:ascii="楷体" w:hAnsi="楷体" w:eastAsia="楷体" w:cs="楷体"/>
                      <w:b w:val="0"/>
                      <w:bCs w:val="0"/>
                      <w:color w:val="auto"/>
                      <w:kern w:val="2"/>
                      <w:sz w:val="21"/>
                      <w:szCs w:val="21"/>
                      <w:lang w:val="en-GB"/>
                    </w:rPr>
                  </w:pPr>
                  <w:r>
                    <w:rPr>
                      <w:rFonts w:hint="eastAsia" w:ascii="楷体" w:hAnsi="楷体" w:eastAsia="楷体" w:cs="楷体"/>
                      <w:b w:val="0"/>
                      <w:bCs w:val="0"/>
                      <w:color w:val="auto"/>
                      <w:sz w:val="21"/>
                      <w:szCs w:val="21"/>
                    </w:rPr>
                    <w:t>■达到</w:t>
                  </w:r>
                </w:p>
              </w:tc>
              <w:tc>
                <w:tcPr>
                  <w:tcW w:w="1134" w:type="dxa"/>
                </w:tcPr>
                <w:p>
                  <w:pPr>
                    <w:pStyle w:val="17"/>
                    <w:spacing w:line="340" w:lineRule="exact"/>
                    <w:jc w:val="both"/>
                    <w:rPr>
                      <w:rFonts w:hint="eastAsia" w:ascii="楷体" w:hAnsi="楷体" w:eastAsia="楷体" w:cs="楷体"/>
                      <w:b w:val="0"/>
                      <w:bCs w:val="0"/>
                      <w:color w:val="auto"/>
                      <w:kern w:val="2"/>
                      <w:sz w:val="21"/>
                      <w:szCs w:val="21"/>
                      <w:lang w:val="en-GB"/>
                    </w:rPr>
                  </w:pPr>
                  <w:r>
                    <w:rPr>
                      <w:rFonts w:hint="eastAsia" w:ascii="楷体" w:hAnsi="楷体" w:eastAsia="楷体" w:cs="楷体"/>
                      <w:b w:val="0"/>
                      <w:bCs w:val="0"/>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7"/>
                    <w:spacing w:line="340" w:lineRule="exact"/>
                    <w:jc w:val="both"/>
                    <w:rPr>
                      <w:rFonts w:hint="eastAsia" w:ascii="楷体" w:hAnsi="楷体" w:eastAsia="楷体" w:cs="楷体"/>
                      <w:b w:val="0"/>
                      <w:bCs w:val="0"/>
                      <w:color w:val="auto"/>
                      <w:kern w:val="2"/>
                      <w:sz w:val="21"/>
                      <w:szCs w:val="21"/>
                      <w:lang w:val="en-GB"/>
                    </w:rPr>
                  </w:pPr>
                  <w:r>
                    <w:rPr>
                      <w:rFonts w:hint="eastAsia" w:ascii="楷体" w:hAnsi="楷体" w:eastAsia="楷体" w:cs="楷体"/>
                      <w:b w:val="0"/>
                      <w:bCs w:val="0"/>
                      <w:color w:val="auto"/>
                      <w:kern w:val="2"/>
                      <w:sz w:val="21"/>
                      <w:szCs w:val="21"/>
                      <w:lang w:val="en-GB"/>
                    </w:rPr>
                    <w:t>体系运行</w:t>
                  </w:r>
                </w:p>
              </w:tc>
              <w:tc>
                <w:tcPr>
                  <w:tcW w:w="967" w:type="dxa"/>
                </w:tcPr>
                <w:p>
                  <w:pPr>
                    <w:pStyle w:val="17"/>
                    <w:spacing w:line="340" w:lineRule="exact"/>
                    <w:jc w:val="both"/>
                    <w:rPr>
                      <w:rFonts w:hint="eastAsia" w:ascii="楷体" w:hAnsi="楷体" w:eastAsia="楷体" w:cs="楷体"/>
                      <w:b w:val="0"/>
                      <w:bCs w:val="0"/>
                      <w:color w:val="auto"/>
                      <w:kern w:val="2"/>
                      <w:sz w:val="21"/>
                      <w:szCs w:val="21"/>
                      <w:lang w:val="en-GB"/>
                    </w:rPr>
                  </w:pPr>
                  <w:r>
                    <w:rPr>
                      <w:rFonts w:hint="eastAsia" w:ascii="楷体" w:hAnsi="楷体" w:eastAsia="楷体" w:cs="楷体"/>
                      <w:b w:val="0"/>
                      <w:bCs w:val="0"/>
                      <w:color w:val="auto"/>
                      <w:sz w:val="21"/>
                      <w:szCs w:val="21"/>
                    </w:rPr>
                    <w:t>■有效</w:t>
                  </w:r>
                </w:p>
              </w:tc>
              <w:tc>
                <w:tcPr>
                  <w:tcW w:w="1134" w:type="dxa"/>
                </w:tcPr>
                <w:p>
                  <w:pPr>
                    <w:pStyle w:val="17"/>
                    <w:spacing w:line="340" w:lineRule="exact"/>
                    <w:jc w:val="both"/>
                    <w:rPr>
                      <w:rFonts w:hint="eastAsia" w:ascii="楷体" w:hAnsi="楷体" w:eastAsia="楷体" w:cs="楷体"/>
                      <w:b w:val="0"/>
                      <w:bCs w:val="0"/>
                      <w:color w:val="auto"/>
                      <w:kern w:val="2"/>
                      <w:sz w:val="21"/>
                      <w:szCs w:val="21"/>
                      <w:lang w:val="en-GB"/>
                    </w:rPr>
                  </w:pPr>
                  <w:r>
                    <w:rPr>
                      <w:rFonts w:hint="eastAsia" w:ascii="楷体" w:hAnsi="楷体" w:eastAsia="楷体" w:cs="楷体"/>
                      <w:b w:val="0"/>
                      <w:bCs w:val="0"/>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2"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lang w:eastAsia="zh-CN"/>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r>
        <w:rPr>
          <w:rFonts w:hint="eastAsia"/>
          <w:sz w:val="22"/>
          <w:szCs w:val="22"/>
        </w:rPr>
        <w:drawing>
          <wp:inline distT="0" distB="0" distL="114300" distR="114300">
            <wp:extent cx="691515" cy="222885"/>
            <wp:effectExtent l="0" t="0" r="6985"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691515" cy="222885"/>
                    </a:xfrm>
                    <a:prstGeom prst="rect">
                      <a:avLst/>
                    </a:prstGeom>
                    <a:noFill/>
                    <a:ln>
                      <a:noFill/>
                    </a:ln>
                  </pic:spPr>
                </pic:pic>
              </a:graphicData>
            </a:graphic>
          </wp:inline>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rPr>
          <w:rFonts w:hint="eastAsia"/>
          <w:sz w:val="22"/>
          <w:szCs w:val="22"/>
        </w:rPr>
        <w:drawing>
          <wp:inline distT="0" distB="0" distL="114300" distR="114300">
            <wp:extent cx="691515" cy="222885"/>
            <wp:effectExtent l="0" t="0" r="6985"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691515" cy="222885"/>
                    </a:xfrm>
                    <a:prstGeom prst="rect">
                      <a:avLst/>
                    </a:prstGeom>
                    <a:noFill/>
                    <a:ln>
                      <a:noFill/>
                    </a:ln>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3</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20</w:t>
      </w:r>
      <w:bookmarkStart w:id="22" w:name="_GoBack"/>
      <w:bookmarkEnd w:id="22"/>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年月日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Wingdings 2">
    <w:altName w:val="Wingdings"/>
    <w:panose1 w:val="05020102010507070707"/>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1" w:name="_Hlk8555230"/>
    <w:r>
      <w:pict>
        <v:shape id="_x0000_s3073" o:spid="_x0000_s3073"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568725"/>
    <w:multiLevelType w:val="singleLevel"/>
    <w:tmpl w:val="9D568725"/>
    <w:lvl w:ilvl="0" w:tentative="0">
      <w:start w:val="2"/>
      <w:numFmt w:val="decimal"/>
      <w:lvlText w:val="%1."/>
      <w:lvlJc w:val="left"/>
      <w:pPr>
        <w:tabs>
          <w:tab w:val="left" w:pos="312"/>
        </w:tabs>
      </w:pPr>
    </w:lvl>
  </w:abstractNum>
  <w:abstractNum w:abstractNumId="1">
    <w:nsid w:val="2098CF6E"/>
    <w:multiLevelType w:val="singleLevel"/>
    <w:tmpl w:val="2098CF6E"/>
    <w:lvl w:ilvl="0" w:tentative="0">
      <w:start w:val="1"/>
      <w:numFmt w:val="lowerLetter"/>
      <w:lvlText w:val="%1)"/>
      <w:lvlJc w:val="left"/>
      <w:pPr>
        <w:tabs>
          <w:tab w:val="left" w:pos="312"/>
        </w:tabs>
      </w:pPr>
    </w:lvl>
  </w:abstractNum>
  <w:abstractNum w:abstractNumId="2">
    <w:nsid w:val="2C77B904"/>
    <w:multiLevelType w:val="singleLevel"/>
    <w:tmpl w:val="2C77B904"/>
    <w:lvl w:ilvl="0" w:tentative="0">
      <w:start w:val="1"/>
      <w:numFmt w:val="lowerLetter"/>
      <w:lvlText w:val="%1)"/>
      <w:lvlJc w:val="left"/>
      <w:pPr>
        <w:tabs>
          <w:tab w:val="left" w:pos="312"/>
        </w:tabs>
      </w:pPr>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8F3852A"/>
    <w:multiLevelType w:val="singleLevel"/>
    <w:tmpl w:val="58F3852A"/>
    <w:lvl w:ilvl="0" w:tentative="0">
      <w:start w:val="5"/>
      <w:numFmt w:val="decimal"/>
      <w:suff w:val="space"/>
      <w:lvlText w:val="%1."/>
      <w:lvlJc w:val="left"/>
    </w:lvl>
  </w:abstractNum>
  <w:abstractNum w:abstractNumId="6">
    <w:nsid w:val="66D20FB1"/>
    <w:multiLevelType w:val="singleLevel"/>
    <w:tmpl w:val="66D20FB1"/>
    <w:lvl w:ilvl="0" w:tentative="0">
      <w:start w:val="2"/>
      <w:numFmt w:val="decimal"/>
      <w:suff w:val="nothing"/>
      <w:lvlText w:val="%1、"/>
      <w:lvlJc w:val="left"/>
    </w:lvl>
  </w:abstractNum>
  <w:num w:numId="1">
    <w:abstractNumId w:val="3"/>
  </w:num>
  <w:num w:numId="2">
    <w:abstractNumId w:val="6"/>
  </w:num>
  <w:num w:numId="3">
    <w:abstractNumId w:val="4"/>
  </w:num>
  <w:num w:numId="4">
    <w:abstractNumId w:val="1"/>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9246613"/>
    <w:rsid w:val="3A080F3D"/>
    <w:rsid w:val="63666B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emf"/><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0</TotalTime>
  <ScaleCrop>false</ScaleCrop>
  <LinksUpToDate>false</LinksUpToDate>
  <CharactersWithSpaces>5057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Administrator</cp:lastModifiedBy>
  <cp:lastPrinted>2019-05-13T03:19:00Z</cp:lastPrinted>
  <dcterms:modified xsi:type="dcterms:W3CDTF">2021-03-25T23:41:29Z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347468D0900B443BA7E5A6F38A2E5D61</vt:lpwstr>
  </property>
</Properties>
</file>