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drawing>
          <wp:inline distT="0" distB="0" distL="114300" distR="114300">
            <wp:extent cx="6465570" cy="9181465"/>
            <wp:effectExtent l="0" t="0" r="1143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5570" cy="91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十堰捷恒工贸有限公司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十堰市汉江南路34号(制管厂办公楼)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刘为刚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0719-8210869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0540-2019-Q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初审，补充现场审核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补充现场审核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0"/>
              </w:rPr>
              <w:t>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继续</w:t>
            </w:r>
            <w:r>
              <w:rPr>
                <w:rFonts w:hint="eastAsia" w:ascii="宋体" w:hAnsi="宋体"/>
                <w:b/>
                <w:bCs/>
                <w:sz w:val="20"/>
              </w:rPr>
              <w:t>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冲压件、齿轮的销售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2021年03月20日 下午至2021年03月20日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114300" distR="114300">
                  <wp:extent cx="691515" cy="2228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650"/>
        <w:gridCol w:w="1000"/>
        <w:gridCol w:w="4010"/>
        <w:gridCol w:w="1356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6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13：00-13：15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1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2021.3.20</w:t>
            </w: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13：15-14：00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/初审远程问题验证/投诉或事故/ 政府主管部门抽查情况）；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56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4.1-6.3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1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14：00-15：00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目标实现情况；部门职责的落实，人员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内部审核实施及有效性；分析与评价</w:t>
            </w: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56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7.1.2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9.1.1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</w:p>
        </w:tc>
        <w:tc>
          <w:tcPr>
            <w:tcW w:w="131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15：00-16：45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基础设施配置与管理；过程运行环境管理；监视和测量设备；运行策划；与产品和服务有关要求的确定；外部提供过程、产品及产品的控制；生产和服务提供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产品和服务的放行；不合格输出的控制/纠正措施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顾客满意；</w:t>
            </w:r>
          </w:p>
        </w:tc>
        <w:tc>
          <w:tcPr>
            <w:tcW w:w="1356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7.1.3- 7.1.5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8.1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8.2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8.6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9.1.2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31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16：45-17：00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01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5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1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021AC"/>
    <w:rsid w:val="51DB1ECA"/>
    <w:rsid w:val="62FD5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2021-03-26T00:02:54Z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9D6D0334832C4174B6CBD15B8B178B9D</vt:lpwstr>
  </property>
</Properties>
</file>