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受审核方：十堰多邦工贸有限公司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hint="eastAsia" w:ascii="楷体_GB2312" w:eastAsia="楷体_GB2312"/>
          <w:b/>
          <w:sz w:val="32"/>
          <w:szCs w:val="32"/>
          <w:lang w:val="en-US" w:eastAsia="zh-CN"/>
        </w:rPr>
        <w:t>现场补充</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3132" w:firstLineChars="1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周文廷</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2019-N1QMS-1244880</w:t>
            </w:r>
          </w:p>
        </w:tc>
        <w:tc>
          <w:tcPr>
            <w:tcW w:w="1728" w:type="dxa"/>
            <w:gridSpan w:val="2"/>
            <w:vAlign w:val="center"/>
          </w:tcPr>
          <w:p>
            <w:pPr>
              <w:jc w:val="center"/>
              <w:rPr>
                <w:b/>
                <w:sz w:val="21"/>
                <w:szCs w:val="21"/>
              </w:rPr>
            </w:pPr>
            <w:r>
              <w:rPr>
                <w:b/>
                <w:sz w:val="21"/>
                <w:szCs w:val="21"/>
              </w:rPr>
              <w:t>17.09.00,29.11.04</w:t>
            </w:r>
          </w:p>
        </w:tc>
        <w:tc>
          <w:tcPr>
            <w:tcW w:w="1729" w:type="dxa"/>
            <w:gridSpan w:val="2"/>
            <w:vAlign w:val="center"/>
          </w:tcPr>
          <w:p>
            <w:pPr>
              <w:jc w:val="center"/>
              <w:rPr>
                <w:b/>
                <w:sz w:val="21"/>
                <w:szCs w:val="21"/>
              </w:rPr>
            </w:pPr>
            <w:r>
              <w:rPr>
                <w:b/>
                <w:sz w:val="21"/>
                <w:szCs w:val="21"/>
              </w:rPr>
              <w:t>ISC-244880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5" w:name="Q勾选15Add"/>
      <w:r>
        <w:rPr>
          <w:rFonts w:hint="eastAsia"/>
          <w:b/>
          <w:sz w:val="21"/>
          <w:szCs w:val="21"/>
        </w:rPr>
        <w:t>■</w:t>
      </w:r>
      <w:bookmarkEnd w:id="5"/>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rFonts w:hint="eastAsia"/>
          <w:b/>
          <w:sz w:val="21"/>
          <w:szCs w:val="21"/>
        </w:rPr>
      </w:pPr>
      <w:r>
        <w:rPr>
          <w:rFonts w:hint="eastAsia"/>
          <w:b/>
          <w:sz w:val="21"/>
          <w:szCs w:val="21"/>
          <w:lang w:eastAsia="zh-CN"/>
        </w:rPr>
        <w:t>☑</w:t>
      </w:r>
      <w:r>
        <w:rPr>
          <w:rFonts w:hint="eastAsia"/>
          <w:b/>
          <w:sz w:val="21"/>
          <w:szCs w:val="21"/>
        </w:rPr>
        <w:t>受审核方管理体系文件</w:t>
      </w:r>
    </w:p>
    <w:p>
      <w:pPr>
        <w:tabs>
          <w:tab w:val="left" w:pos="645"/>
        </w:tabs>
        <w:rPr>
          <w:rFonts w:hint="eastAsia"/>
          <w:b/>
          <w:sz w:val="21"/>
          <w:szCs w:val="21"/>
        </w:rPr>
      </w:pPr>
      <w:r>
        <w:rPr>
          <w:rFonts w:hint="eastAsia"/>
          <w:b/>
          <w:sz w:val="21"/>
          <w:szCs w:val="21"/>
          <w:lang w:eastAsia="zh-CN"/>
        </w:rPr>
        <w:t>☑</w:t>
      </w:r>
      <w:r>
        <w:rPr>
          <w:rFonts w:hint="eastAsia"/>
          <w:b/>
          <w:sz w:val="21"/>
          <w:szCs w:val="21"/>
        </w:rPr>
        <w:t>适用的法律法规</w:t>
      </w:r>
    </w:p>
    <w:p>
      <w:pPr>
        <w:tabs>
          <w:tab w:val="left" w:pos="645"/>
        </w:tabs>
        <w:rPr>
          <w:b/>
          <w:sz w:val="21"/>
          <w:szCs w:val="21"/>
        </w:rPr>
      </w:pPr>
      <w:r>
        <w:rPr>
          <w:rFonts w:hint="eastAsia"/>
          <w:b/>
          <w:sz w:val="21"/>
          <w:szCs w:val="21"/>
          <w:lang w:eastAsia="zh-CN"/>
        </w:rPr>
        <w:t>☑</w:t>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6" w:name="组织名称Add"/>
            <w:r>
              <w:rPr>
                <w:rFonts w:ascii="宋体"/>
                <w:b/>
                <w:color w:val="auto"/>
                <w:sz w:val="21"/>
              </w:rPr>
              <w:t>十堰多邦工贸有限公司</w:t>
            </w:r>
            <w:bookmarkEnd w:id="6"/>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7" w:name="注册地址"/>
            <w:r>
              <w:rPr>
                <w:rFonts w:ascii="宋体"/>
                <w:b/>
                <w:sz w:val="21"/>
              </w:rPr>
              <w:t>十堰市普林南路18号</w:t>
            </w:r>
            <w:bookmarkEnd w:id="7"/>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8" w:name="注册邮编"/>
            <w:r>
              <w:rPr>
                <w:rFonts w:ascii="宋体"/>
                <w:b/>
                <w:sz w:val="21"/>
              </w:rPr>
              <w:t>442000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9" w:name="办公地址"/>
            <w:r>
              <w:rPr>
                <w:rFonts w:ascii="宋体"/>
                <w:b/>
                <w:sz w:val="21"/>
              </w:rPr>
              <w:t>十堰市普林南路18号</w:t>
            </w:r>
            <w:bookmarkEnd w:id="9"/>
          </w:p>
        </w:tc>
        <w:tc>
          <w:tcPr>
            <w:tcW w:w="1672" w:type="dxa"/>
            <w:vMerge w:val="continue"/>
            <w:vAlign w:val="center"/>
          </w:tcPr>
          <w:p>
            <w:pPr>
              <w:jc w:val="center"/>
              <w:rPr>
                <w:rFonts w:ascii="宋体"/>
                <w:b/>
                <w:sz w:val="21"/>
              </w:rPr>
            </w:pPr>
          </w:p>
        </w:tc>
        <w:tc>
          <w:tcPr>
            <w:tcW w:w="1500" w:type="dxa"/>
          </w:tcPr>
          <w:p>
            <w:pPr>
              <w:rPr>
                <w:rFonts w:ascii="宋体"/>
                <w:b/>
                <w:sz w:val="21"/>
              </w:rPr>
            </w:pPr>
            <w:bookmarkStart w:id="10" w:name="办公邮编"/>
            <w:r>
              <w:rPr>
                <w:rFonts w:ascii="宋体"/>
                <w:b/>
                <w:sz w:val="21"/>
              </w:rPr>
              <w:t>442000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1" w:name="生产地址Add"/>
            <w:r>
              <w:rPr>
                <w:rFonts w:ascii="宋体"/>
                <w:b/>
                <w:sz w:val="21"/>
              </w:rPr>
              <w:t>十堰市普林南路18号</w:t>
            </w:r>
            <w:bookmarkEnd w:id="11"/>
          </w:p>
        </w:tc>
        <w:tc>
          <w:tcPr>
            <w:tcW w:w="1672" w:type="dxa"/>
            <w:vMerge w:val="continue"/>
            <w:vAlign w:val="center"/>
          </w:tcPr>
          <w:p>
            <w:pPr>
              <w:jc w:val="center"/>
              <w:rPr>
                <w:rFonts w:ascii="宋体"/>
                <w:b/>
                <w:sz w:val="21"/>
              </w:rPr>
            </w:pPr>
          </w:p>
        </w:tc>
        <w:tc>
          <w:tcPr>
            <w:tcW w:w="1500" w:type="dxa"/>
          </w:tcPr>
          <w:p>
            <w:pPr>
              <w:rPr>
                <w:rFonts w:ascii="宋体"/>
                <w:b/>
                <w:sz w:val="21"/>
              </w:rPr>
            </w:pPr>
            <w:bookmarkStart w:id="12" w:name="生产邮编"/>
            <w:r>
              <w:rPr>
                <w:rFonts w:ascii="宋体"/>
                <w:b/>
                <w:sz w:val="21"/>
              </w:rPr>
              <w:t>442000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3" w:name="联系人"/>
            <w:r>
              <w:rPr>
                <w:rFonts w:ascii="宋体"/>
                <w:b/>
                <w:sz w:val="21"/>
              </w:rPr>
              <w:t>刘杨</w:t>
            </w:r>
            <w:bookmarkEnd w:id="13"/>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4" w:name="联系人电话Add"/>
            <w:r>
              <w:rPr>
                <w:rFonts w:ascii="宋体"/>
                <w:b/>
                <w:sz w:val="21"/>
              </w:rPr>
              <w:t>15071606661</w:t>
            </w:r>
            <w:bookmarkEnd w:id="14"/>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5" w:name="联系人传真"/>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6" w:name="法人"/>
            <w:r>
              <w:rPr>
                <w:rFonts w:ascii="宋体" w:hAnsi="宋体"/>
                <w:b/>
                <w:sz w:val="21"/>
                <w:szCs w:val="21"/>
              </w:rPr>
              <w:t>刘杨</w:t>
            </w:r>
            <w:bookmarkEnd w:id="16"/>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17" w:name="管理者代表"/>
            <w:r>
              <w:rPr>
                <w:rFonts w:ascii="宋体"/>
                <w:b/>
                <w:sz w:val="21"/>
              </w:rPr>
              <w:t>张家定</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18" w:name="审核日期"/>
            <w:r>
              <w:rPr>
                <w:rFonts w:ascii="宋体" w:hAnsi="宋体"/>
                <w:b/>
                <w:sz w:val="21"/>
                <w:szCs w:val="21"/>
              </w:rPr>
              <w:t>2021年03月21日 上午至2021年03月21日 上午</w:t>
            </w:r>
            <w:bookmarkEnd w:id="18"/>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hint="eastAsia" w:ascii="宋体" w:hAnsi="宋体" w:eastAsia="宋体"/>
                <w:b/>
                <w:sz w:val="21"/>
                <w:szCs w:val="21"/>
                <w:lang w:eastAsia="zh-CN"/>
              </w:rPr>
            </w:pPr>
            <w:bookmarkStart w:id="19" w:name="Q勾选15Add1"/>
            <w:r>
              <w:rPr>
                <w:rFonts w:hint="eastAsia" w:ascii="宋体" w:hAnsi="宋体"/>
                <w:b/>
                <w:sz w:val="21"/>
                <w:szCs w:val="21"/>
              </w:rPr>
              <w:t>■</w:t>
            </w:r>
            <w:bookmarkEnd w:id="19"/>
            <w:r>
              <w:rPr>
                <w:rFonts w:ascii="宋体" w:hAnsi="宋体"/>
                <w:b/>
                <w:sz w:val="21"/>
                <w:szCs w:val="21"/>
              </w:rPr>
              <w:t>QMS</w:t>
            </w:r>
            <w:r>
              <w:rPr>
                <w:rFonts w:hint="eastAsia" w:ascii="宋体" w:hAnsi="宋体"/>
                <w:b/>
                <w:sz w:val="21"/>
                <w:szCs w:val="21"/>
              </w:rPr>
              <w:t>：</w:t>
            </w:r>
            <w:r>
              <w:rPr>
                <w:rFonts w:hint="eastAsia" w:ascii="楷体" w:hAnsi="楷体" w:eastAsia="楷体" w:cs="楷体"/>
                <w:sz w:val="21"/>
                <w:szCs w:val="21"/>
              </w:rPr>
              <w:t>冲压件的加工及汽车随车工具的销售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0" w:name="专业代码"/>
            <w:r>
              <w:rPr>
                <w:rFonts w:ascii="宋体" w:hAnsi="宋体"/>
                <w:b/>
                <w:sz w:val="21"/>
                <w:szCs w:val="21"/>
              </w:rPr>
              <w:t>17.09.00;29.11.04</w:t>
            </w:r>
            <w:bookmarkEnd w:id="20"/>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vAlign w:val="top"/>
          </w:tcPr>
          <w:p>
            <w:pPr>
              <w:spacing w:line="260" w:lineRule="exact"/>
              <w:rPr>
                <w:rFonts w:ascii="宋体" w:hAnsi="宋体" w:eastAsia="宋体" w:cs="Times New Roman"/>
                <w:b/>
                <w:color w:val="FF0000"/>
                <w:kern w:val="2"/>
                <w:sz w:val="18"/>
                <w:szCs w:val="18"/>
                <w:lang w:val="en-US" w:eastAsia="zh-CN" w:bidi="ar-SA"/>
              </w:rPr>
            </w:pPr>
            <w:r>
              <w:rPr>
                <w:rFonts w:hint="eastAsia" w:ascii="宋体" w:hAnsi="宋体"/>
                <w:b/>
                <w:sz w:val="18"/>
                <w:szCs w:val="18"/>
              </w:rPr>
              <w:t>2023年1月</w:t>
            </w:r>
          </w:p>
        </w:tc>
        <w:tc>
          <w:tcPr>
            <w:tcW w:w="1672" w:type="dxa"/>
            <w:vAlign w:val="center"/>
          </w:tcPr>
          <w:p>
            <w:pPr>
              <w:spacing w:line="260" w:lineRule="exact"/>
              <w:jc w:val="center"/>
              <w:rPr>
                <w:rFonts w:ascii="宋体" w:hAnsi="宋体"/>
                <w:b/>
                <w:sz w:val="18"/>
                <w:szCs w:val="18"/>
              </w:rPr>
            </w:pPr>
            <w:r>
              <w:rPr>
                <w:rFonts w:hint="eastAsia" w:ascii="宋体" w:hAnsi="宋体"/>
                <w:b/>
                <w:sz w:val="18"/>
                <w:szCs w:val="18"/>
              </w:rPr>
              <w:t>上年度</w:t>
            </w:r>
          </w:p>
          <w:p>
            <w:pPr>
              <w:spacing w:line="260" w:lineRule="exact"/>
              <w:jc w:val="center"/>
              <w:rPr>
                <w:rFonts w:ascii="宋体" w:hAnsi="宋体" w:eastAsia="宋体" w:cs="Times New Roman"/>
                <w:b/>
                <w:kern w:val="2"/>
                <w:sz w:val="18"/>
                <w:szCs w:val="18"/>
                <w:lang w:val="en-US" w:eastAsia="zh-CN" w:bidi="ar-SA"/>
              </w:rPr>
            </w:pPr>
            <w:r>
              <w:rPr>
                <w:rFonts w:hint="eastAsia" w:ascii="宋体" w:hAnsi="宋体"/>
                <w:b/>
                <w:sz w:val="18"/>
                <w:szCs w:val="18"/>
              </w:rPr>
              <w:t>审核日期</w:t>
            </w:r>
          </w:p>
        </w:tc>
        <w:tc>
          <w:tcPr>
            <w:tcW w:w="1500" w:type="dxa"/>
            <w:vAlign w:val="top"/>
          </w:tcPr>
          <w:p>
            <w:pPr>
              <w:spacing w:line="260" w:lineRule="exact"/>
              <w:rPr>
                <w:rFonts w:hint="default" w:ascii="宋体" w:hAnsi="Times New Roman" w:eastAsia="宋体" w:cs="Times New Roman"/>
                <w:b/>
                <w:kern w:val="2"/>
                <w:sz w:val="18"/>
                <w:szCs w:val="18"/>
                <w:lang w:val="en-US" w:eastAsia="zh-CN" w:bidi="ar-SA"/>
              </w:rPr>
            </w:pPr>
            <w:r>
              <w:rPr>
                <w:rFonts w:hint="eastAsia" w:ascii="宋体"/>
                <w:b/>
                <w:sz w:val="18"/>
                <w:szCs w:val="18"/>
              </w:rPr>
              <w:t>2020年1</w:t>
            </w:r>
            <w:r>
              <w:rPr>
                <w:rFonts w:hint="eastAsia" w:ascii="宋体"/>
                <w:b/>
                <w:sz w:val="18"/>
                <w:szCs w:val="18"/>
                <w:lang w:val="en-US" w:eastAsia="zh-CN"/>
              </w:rPr>
              <w:t>2</w:t>
            </w:r>
            <w:r>
              <w:rPr>
                <w:rFonts w:hint="eastAsia" w:ascii="宋体"/>
                <w:b/>
                <w:sz w:val="18"/>
                <w:szCs w:val="18"/>
              </w:rPr>
              <w:t>月</w:t>
            </w:r>
            <w:r>
              <w:rPr>
                <w:rFonts w:hint="eastAsia" w:ascii="宋体"/>
                <w:b/>
                <w:sz w:val="18"/>
                <w:szCs w:val="18"/>
                <w:lang w:val="en-US" w:eastAsia="zh-CN"/>
              </w:rPr>
              <w:t>31日远程</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rFonts w:hint="eastAsia" w:ascii="宋体" w:hAnsi="宋体"/>
          <w:b/>
          <w:sz w:val="21"/>
          <w:szCs w:val="21"/>
          <w:lang w:eastAsia="zh-CN"/>
        </w:rPr>
        <w:t>：</w:t>
      </w:r>
      <w:r>
        <w:rPr>
          <w:rFonts w:hint="eastAsia" w:ascii="宋体" w:hAnsi="宋体"/>
          <w:b/>
          <w:color w:val="000000" w:themeColor="text1"/>
          <w:sz w:val="20"/>
        </w:rPr>
        <w:t>冲压件的加工及汽车随车工具的销售</w:t>
      </w:r>
    </w:p>
    <w:p>
      <w:pPr>
        <w:spacing w:before="163" w:beforeLines="50"/>
        <w:ind w:left="-194" w:leftChars="-81" w:firstLine="211" w:firstLineChars="100"/>
        <w:rPr>
          <w:rFonts w:ascii="宋体" w:hAnsi="宋体"/>
          <w:b/>
          <w:sz w:val="21"/>
          <w:szCs w:val="21"/>
        </w:rPr>
      </w:pP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本次审核覆盖时间：从上次审核结束日的2020年1月至202</w:t>
      </w:r>
      <w:r>
        <w:rPr>
          <w:rFonts w:hint="eastAsia" w:ascii="宋体" w:hAnsi="宋体"/>
          <w:b/>
          <w:sz w:val="21"/>
          <w:szCs w:val="21"/>
          <w:lang w:val="en-US" w:eastAsia="zh-CN"/>
        </w:rPr>
        <w:t>1</w:t>
      </w:r>
      <w:r>
        <w:rPr>
          <w:rFonts w:hint="eastAsia" w:ascii="宋体" w:hAnsi="宋体"/>
          <w:b/>
          <w:sz w:val="21"/>
          <w:szCs w:val="21"/>
        </w:rPr>
        <w:t>年</w:t>
      </w:r>
      <w:r>
        <w:rPr>
          <w:rFonts w:hint="eastAsia" w:ascii="宋体" w:hAnsi="宋体"/>
          <w:b/>
          <w:sz w:val="21"/>
          <w:szCs w:val="21"/>
          <w:lang w:val="en-US" w:eastAsia="zh-CN"/>
        </w:rPr>
        <w:t>3</w:t>
      </w:r>
      <w:r>
        <w:rPr>
          <w:rFonts w:hint="eastAsia" w:ascii="宋体" w:hAnsi="宋体"/>
          <w:b/>
          <w:sz w:val="21"/>
          <w:szCs w:val="21"/>
        </w:rPr>
        <w:t>月</w:t>
      </w:r>
      <w:r>
        <w:rPr>
          <w:rFonts w:hint="eastAsia" w:ascii="宋体" w:hAnsi="宋体"/>
          <w:b/>
          <w:sz w:val="21"/>
          <w:szCs w:val="21"/>
          <w:lang w:val="en-US" w:eastAsia="zh-CN"/>
        </w:rPr>
        <w:t>21</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rPr>
                <w:rFonts w:hint="eastAsia" w:ascii="楷体" w:hAnsi="楷体" w:eastAsia="楷体" w:cs="楷体"/>
                <w:bCs/>
                <w:sz w:val="21"/>
                <w:szCs w:val="21"/>
              </w:rPr>
            </w:pPr>
            <w:r>
              <w:rPr>
                <w:rFonts w:hint="eastAsia" w:ascii="楷体" w:hAnsi="楷体" w:eastAsia="楷体" w:cs="楷体"/>
                <w:bCs/>
                <w:sz w:val="21"/>
                <w:szCs w:val="21"/>
              </w:rPr>
              <w:t>企业位于十堰市，为东风汽车制造基地，同时带动了汽车零配件相关行业的发展。企业经营本行业多年，只为东风汽车提供冲压件，图纸、执行标准、检验标准均按“东风”要求，近年“东风”业务基本稳定。</w:t>
            </w:r>
          </w:p>
          <w:p>
            <w:pPr>
              <w:spacing w:line="240" w:lineRule="exact"/>
              <w:rPr>
                <w:rFonts w:hint="eastAsia" w:ascii="楷体" w:hAnsi="楷体" w:eastAsia="楷体" w:cs="楷体"/>
                <w:bCs/>
                <w:sz w:val="21"/>
                <w:szCs w:val="21"/>
              </w:rPr>
            </w:pPr>
            <w:r>
              <w:rPr>
                <w:rFonts w:hint="eastAsia" w:ascii="楷体" w:hAnsi="楷体" w:eastAsia="楷体" w:cs="楷体"/>
                <w:bCs/>
                <w:sz w:val="21"/>
                <w:szCs w:val="21"/>
              </w:rPr>
              <w:t>管理层识别、确定了与战略、目标相关、影响实现管理体系预期结果的内、外部因素，并且实时关注、评审不断变化的内外部信息。</w:t>
            </w:r>
          </w:p>
          <w:p>
            <w:pPr>
              <w:spacing w:line="240" w:lineRule="exact"/>
              <w:rPr>
                <w:rFonts w:hint="eastAsia" w:ascii="楷体" w:hAnsi="楷体" w:eastAsia="楷体" w:cs="楷体"/>
                <w:bCs/>
                <w:sz w:val="21"/>
                <w:szCs w:val="21"/>
              </w:rPr>
            </w:pPr>
            <w:r>
              <w:rPr>
                <w:rFonts w:hint="eastAsia" w:ascii="楷体" w:hAnsi="楷体" w:eastAsia="楷体" w:cs="楷体"/>
                <w:bCs/>
                <w:sz w:val="21"/>
                <w:szCs w:val="21"/>
              </w:rPr>
              <w:t>提供组织内外部环境识别表</w:t>
            </w:r>
          </w:p>
          <w:p>
            <w:pPr>
              <w:spacing w:line="240" w:lineRule="exact"/>
              <w:rPr>
                <w:rFonts w:hint="eastAsia" w:ascii="楷体" w:hAnsi="楷体" w:eastAsia="楷体" w:cs="楷体"/>
                <w:bCs/>
                <w:sz w:val="21"/>
                <w:szCs w:val="21"/>
              </w:rPr>
            </w:pPr>
            <w:r>
              <w:rPr>
                <w:rFonts w:hint="eastAsia" w:ascii="楷体" w:hAnsi="楷体" w:eastAsia="楷体" w:cs="楷体"/>
                <w:bCs/>
                <w:sz w:val="21"/>
                <w:szCs w:val="21"/>
              </w:rPr>
              <w:t>外部环境：国际环境、.社会环境、政治环境、经济环境、空气质量环境等</w:t>
            </w:r>
          </w:p>
          <w:p>
            <w:pPr>
              <w:spacing w:line="240" w:lineRule="exact"/>
              <w:rPr>
                <w:rFonts w:hint="eastAsia" w:ascii="楷体" w:hAnsi="楷体" w:eastAsia="楷体" w:cs="楷体"/>
                <w:bCs/>
                <w:sz w:val="21"/>
                <w:szCs w:val="21"/>
              </w:rPr>
            </w:pPr>
            <w:r>
              <w:rPr>
                <w:rFonts w:hint="eastAsia" w:ascii="楷体" w:hAnsi="楷体" w:eastAsia="楷体" w:cs="楷体"/>
                <w:bCs/>
                <w:sz w:val="21"/>
                <w:szCs w:val="21"/>
              </w:rPr>
              <w:t>内部环境；企业文化、公司价值观、知识积累、绩效等</w:t>
            </w:r>
          </w:p>
          <w:p>
            <w:pPr>
              <w:spacing w:line="240" w:lineRule="exact"/>
              <w:rPr>
                <w:rFonts w:hint="eastAsia" w:ascii="宋体" w:hAnsi="宋体"/>
                <w:b/>
                <w:sz w:val="21"/>
                <w:szCs w:val="21"/>
              </w:rPr>
            </w:pPr>
            <w:r>
              <w:rPr>
                <w:rFonts w:hint="eastAsia" w:ascii="楷体" w:hAnsi="楷体" w:eastAsia="楷体" w:cs="楷体"/>
                <w:bCs/>
                <w:sz w:val="21"/>
                <w:szCs w:val="21"/>
              </w:rPr>
              <w:t>内外部环境识别充分，有效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spacing w:line="240" w:lineRule="exact"/>
              <w:rPr>
                <w:rFonts w:hint="eastAsia" w:ascii="楷体" w:hAnsi="楷体" w:eastAsia="楷体" w:cs="楷体"/>
                <w:bCs/>
                <w:sz w:val="21"/>
                <w:szCs w:val="21"/>
              </w:rPr>
            </w:pPr>
            <w:r>
              <w:rPr>
                <w:rFonts w:hint="eastAsia" w:ascii="楷体" w:hAnsi="楷体" w:eastAsia="楷体" w:cs="楷体"/>
                <w:bCs/>
                <w:sz w:val="21"/>
                <w:szCs w:val="21"/>
              </w:rPr>
              <w:t>公司识别并确定了影响公司提供产品和服务能力的利益相关方：顾客、员工、供应商等。</w:t>
            </w:r>
          </w:p>
          <w:p>
            <w:pPr>
              <w:spacing w:line="240" w:lineRule="exact"/>
              <w:rPr>
                <w:rFonts w:hint="eastAsia" w:ascii="楷体" w:hAnsi="楷体" w:eastAsia="楷体" w:cs="楷体"/>
                <w:bCs/>
                <w:sz w:val="21"/>
                <w:szCs w:val="21"/>
              </w:rPr>
            </w:pPr>
            <w:r>
              <w:rPr>
                <w:rFonts w:hint="eastAsia" w:ascii="楷体" w:hAnsi="楷体" w:eastAsia="楷体" w:cs="楷体"/>
                <w:bCs/>
                <w:sz w:val="21"/>
                <w:szCs w:val="21"/>
              </w:rPr>
              <w:t>管代介绍公司通过投标、合同约定、不同形式沟通（如：电话、面对面、调查问卷等）形式了解相关方的需求，然后提供出满足他们要求提供优质产品和完善的服务，目前公司能满足相关方的需求和期望。</w:t>
            </w:r>
          </w:p>
          <w:p>
            <w:pPr>
              <w:numPr>
                <w:numId w:val="0"/>
              </w:numPr>
              <w:spacing w:line="240" w:lineRule="exact"/>
              <w:rPr>
                <w:rFonts w:hint="eastAsia" w:ascii="宋体" w:hAnsi="宋体"/>
                <w:b/>
                <w:sz w:val="21"/>
                <w:szCs w:val="21"/>
              </w:rPr>
            </w:pPr>
            <w:r>
              <w:rPr>
                <w:rFonts w:hint="eastAsia" w:ascii="楷体" w:hAnsi="楷体" w:eastAsia="楷体" w:cs="楷体"/>
                <w:bCs/>
                <w:sz w:val="21"/>
                <w:szCs w:val="21"/>
              </w:rPr>
              <w:t>相关方进行监视和评审的方式方法：公司通过走访、会议、客户要求等方式对相关方的信息进行监视和评审。抽相关方列表，相关方需求识别充分，目前未发生相关方投诉事件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hint="eastAsia" w:ascii="宋体" w:hAnsi="宋体"/>
                <w:b/>
                <w:sz w:val="21"/>
                <w:szCs w:val="21"/>
              </w:rPr>
            </w:pPr>
            <w:r>
              <w:rPr>
                <w:rFonts w:hint="eastAsia" w:ascii="宋体" w:hAnsi="宋体"/>
                <w:b/>
                <w:sz w:val="21"/>
                <w:szCs w:val="21"/>
                <w:lang w:eastAsia="zh-CN"/>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280" w:lineRule="exact"/>
              <w:rPr>
                <w:rFonts w:hint="eastAsia" w:ascii="楷体" w:hAnsi="楷体" w:eastAsia="楷体" w:cs="楷体"/>
                <w:bCs/>
                <w:sz w:val="21"/>
                <w:szCs w:val="21"/>
              </w:rPr>
            </w:pPr>
            <w:r>
              <w:rPr>
                <w:rFonts w:hint="eastAsia" w:ascii="楷体" w:hAnsi="楷体" w:eastAsia="楷体" w:cs="楷体"/>
                <w:bCs/>
                <w:sz w:val="21"/>
                <w:szCs w:val="21"/>
              </w:rPr>
              <w:t>企业策划并制定了质量方针：“诚信为本，以质量求生存，科技创新，追求行业领先水平”</w:t>
            </w:r>
          </w:p>
          <w:p>
            <w:pPr>
              <w:spacing w:line="280" w:lineRule="exact"/>
              <w:rPr>
                <w:rFonts w:hint="eastAsia" w:ascii="楷体" w:hAnsi="楷体" w:eastAsia="楷体" w:cs="楷体"/>
                <w:bCs/>
                <w:sz w:val="21"/>
                <w:szCs w:val="21"/>
              </w:rPr>
            </w:pPr>
            <w:r>
              <w:rPr>
                <w:rFonts w:hint="eastAsia" w:ascii="楷体" w:hAnsi="楷体" w:eastAsia="楷体" w:cs="楷体"/>
                <w:bCs/>
                <w:sz w:val="21"/>
                <w:szCs w:val="21"/>
              </w:rPr>
              <w:t>方针在质量手册中予以规定，经总经理批准实施。</w:t>
            </w:r>
          </w:p>
          <w:p>
            <w:pPr>
              <w:numPr>
                <w:numId w:val="0"/>
              </w:numPr>
              <w:spacing w:line="280" w:lineRule="exact"/>
              <w:rPr>
                <w:rFonts w:hint="eastAsia" w:ascii="宋体" w:hAnsi="宋体"/>
                <w:b/>
                <w:sz w:val="21"/>
                <w:szCs w:val="21"/>
              </w:rPr>
            </w:pPr>
            <w:r>
              <w:rPr>
                <w:rFonts w:hint="eastAsia" w:ascii="楷体" w:hAnsi="楷体" w:eastAsia="楷体" w:cs="楷体"/>
                <w:bCs/>
                <w:sz w:val="21"/>
                <w:szCs w:val="21"/>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numId w:val="0"/>
              </w:numPr>
              <w:spacing w:line="280" w:lineRule="exact"/>
              <w:ind w:leftChars="0"/>
              <w:rPr>
                <w:rFonts w:hint="eastAsia" w:ascii="宋体" w:hAnsi="宋体"/>
                <w:b/>
                <w:sz w:val="21"/>
                <w:szCs w:val="21"/>
              </w:rPr>
            </w:pPr>
            <w:r>
              <w:rPr>
                <w:rFonts w:hint="eastAsia" w:ascii="宋体" w:hAnsi="宋体"/>
                <w:b/>
                <w:sz w:val="21"/>
                <w:szCs w:val="21"/>
                <w:lang w:val="en-US" w:eastAsia="zh-CN"/>
              </w:rPr>
              <w:t>4、</w:t>
            </w:r>
            <w:r>
              <w:rPr>
                <w:rFonts w:hint="eastAsia" w:ascii="宋体" w:hAnsi="宋体"/>
                <w:b/>
                <w:sz w:val="21"/>
                <w:szCs w:val="21"/>
              </w:rPr>
              <w:t>风险识别与控制策划</w:t>
            </w:r>
          </w:p>
          <w:p>
            <w:pPr>
              <w:spacing w:line="280" w:lineRule="exact"/>
              <w:rPr>
                <w:rFonts w:hint="eastAsia" w:ascii="楷体" w:hAnsi="楷体" w:eastAsia="楷体" w:cs="楷体"/>
                <w:sz w:val="21"/>
                <w:szCs w:val="21"/>
              </w:rPr>
            </w:pPr>
            <w:r>
              <w:rPr>
                <w:rFonts w:hint="eastAsia" w:ascii="楷体" w:hAnsi="楷体" w:eastAsia="楷体" w:cs="楷体"/>
                <w:sz w:val="21"/>
                <w:szCs w:val="21"/>
              </w:rPr>
              <w:t>企业通过识别与评价对公司目标和战略方向相关影响其实现质量管理体系预期结果的各种内外部环境因素，有效应对风险和机遇。针对质量风险与机遇，负责人组织人员对质量控制风险进行了识别、分析和评价，制定了相应措施。</w:t>
            </w:r>
          </w:p>
          <w:p>
            <w:pPr>
              <w:spacing w:line="280" w:lineRule="exact"/>
              <w:rPr>
                <w:rFonts w:hint="eastAsia" w:ascii="楷体" w:hAnsi="楷体" w:eastAsia="楷体" w:cs="楷体"/>
                <w:sz w:val="21"/>
                <w:szCs w:val="21"/>
              </w:rPr>
            </w:pPr>
            <w:r>
              <w:rPr>
                <w:rFonts w:hint="eastAsia" w:ascii="楷体" w:hAnsi="楷体" w:eastAsia="楷体" w:cs="楷体"/>
                <w:sz w:val="21"/>
                <w:szCs w:val="21"/>
              </w:rPr>
              <w:t>通过内审、管评、目标考核等来评价风险和机遇应对措施的有效性。</w:t>
            </w:r>
          </w:p>
          <w:p>
            <w:pPr>
              <w:numPr>
                <w:numId w:val="0"/>
              </w:numPr>
              <w:spacing w:line="280" w:lineRule="exact"/>
              <w:ind w:leftChars="0"/>
              <w:rPr>
                <w:rFonts w:hint="eastAsia" w:ascii="宋体" w:hAnsi="宋体"/>
                <w:b/>
                <w:sz w:val="21"/>
                <w:szCs w:val="21"/>
              </w:rPr>
            </w:pPr>
            <w:r>
              <w:rPr>
                <w:rFonts w:hint="eastAsia" w:ascii="楷体" w:hAnsi="楷体" w:eastAsia="楷体" w:cs="楷体"/>
                <w:sz w:val="21"/>
                <w:szCs w:val="21"/>
              </w:rPr>
              <w:t>公司的风险和机遇识别、控制基本符合要求.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00" w:hanging="200" w:hangingChars="100"/>
              <w:rPr>
                <w:rFonts w:hint="eastAsia" w:ascii="宋体" w:hAnsi="宋体"/>
                <w:color w:val="000000" w:themeColor="text1"/>
                <w:sz w:val="20"/>
              </w:rPr>
            </w:pPr>
            <w:r>
              <w:rPr>
                <w:rFonts w:hint="eastAsia" w:ascii="宋体" w:hAnsi="宋体"/>
                <w:color w:val="000000" w:themeColor="text1"/>
                <w:sz w:val="20"/>
              </w:rPr>
              <w:t>质量管理体系过程有：策划过程、生产和服务过程、放行过程等</w:t>
            </w:r>
          </w:p>
          <w:p>
            <w:pPr>
              <w:tabs>
                <w:tab w:val="left" w:pos="540"/>
              </w:tabs>
              <w:spacing w:line="300" w:lineRule="exact"/>
              <w:ind w:left="200" w:hanging="200" w:hangingChars="100"/>
              <w:rPr>
                <w:rFonts w:hint="eastAsia" w:ascii="宋体" w:hAnsi="宋体"/>
                <w:color w:val="000000" w:themeColor="text1"/>
                <w:sz w:val="20"/>
              </w:rPr>
            </w:pPr>
            <w:r>
              <w:rPr>
                <w:rFonts w:hint="eastAsia" w:ascii="宋体" w:hAnsi="宋体"/>
                <w:color w:val="000000" w:themeColor="text1"/>
                <w:sz w:val="20"/>
              </w:rPr>
              <w:t xml:space="preserve">其中关键过程有   销售服务过程、采购过程、生产过程控制、放行控制                   </w:t>
            </w:r>
          </w:p>
          <w:p>
            <w:pPr>
              <w:tabs>
                <w:tab w:val="left" w:pos="540"/>
              </w:tabs>
              <w:spacing w:line="300" w:lineRule="exact"/>
              <w:ind w:left="200" w:hanging="200" w:hangingChars="100"/>
              <w:rPr>
                <w:rFonts w:hint="eastAsia" w:ascii="宋体" w:hAnsi="宋体"/>
                <w:color w:val="000000" w:themeColor="text1"/>
                <w:sz w:val="20"/>
              </w:rPr>
            </w:pPr>
            <w:r>
              <w:rPr>
                <w:rFonts w:hint="eastAsia" w:ascii="宋体" w:hAnsi="宋体"/>
                <w:color w:val="000000" w:themeColor="text1"/>
                <w:sz w:val="20"/>
              </w:rPr>
              <w:t>需要确认过程  ：销售服务过程</w:t>
            </w:r>
          </w:p>
          <w:p>
            <w:pPr>
              <w:tabs>
                <w:tab w:val="left" w:pos="540"/>
              </w:tabs>
              <w:spacing w:line="300" w:lineRule="exact"/>
              <w:ind w:left="211" w:hanging="200" w:hangingChars="100"/>
              <w:rPr>
                <w:rFonts w:ascii="宋体" w:hAnsi="宋体"/>
                <w:b/>
                <w:sz w:val="21"/>
                <w:szCs w:val="21"/>
              </w:rPr>
            </w:pPr>
            <w:r>
              <w:rPr>
                <w:rFonts w:hint="eastAsia" w:ascii="宋体" w:hAnsi="宋体"/>
                <w:color w:val="000000" w:themeColor="text1"/>
                <w:sz w:val="20"/>
              </w:rPr>
              <w:t>不适用条款是   8.3  ，不适用理由：</w:t>
            </w:r>
            <w:r>
              <w:rPr>
                <w:rFonts w:hint="eastAsia" w:ascii="楷体" w:hAnsi="楷体" w:eastAsia="楷体" w:cs="楷体"/>
                <w:color w:val="000000" w:themeColor="text1"/>
                <w:sz w:val="21"/>
                <w:szCs w:val="21"/>
              </w:rPr>
              <w:t xml:space="preserve">该组织依据国家/行业标准/顾客要求／图纸进行加工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   </w:t>
            </w:r>
            <w:r>
              <w:rPr>
                <w:rFonts w:hint="eastAsia" w:ascii="宋体" w:hAnsi="宋体"/>
                <w:color w:val="000000" w:themeColor="text1"/>
                <w:sz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lang w:val="en-US" w:eastAsia="zh-CN"/>
              </w:rPr>
              <w:t>6</w:t>
            </w:r>
            <w:r>
              <w:rPr>
                <w:rFonts w:ascii="宋体" w:hAnsi="宋体"/>
                <w:b/>
                <w:sz w:val="21"/>
                <w:szCs w:val="21"/>
              </w:rPr>
              <w:t xml:space="preserve">.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3"/>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lang w:eastAsia="zh-CN"/>
              </w:rPr>
              <w:t>☑</w:t>
            </w:r>
            <w:r>
              <w:rPr>
                <w:rFonts w:hint="eastAsia" w:ascii="宋体" w:hAnsi="宋体"/>
                <w:b/>
                <w:szCs w:val="21"/>
              </w:rPr>
              <w:t>法律法规获取充分</w:t>
            </w:r>
          </w:p>
          <w:p>
            <w:pPr>
              <w:pStyle w:val="13"/>
              <w:numPr>
                <w:ilvl w:val="0"/>
                <w:numId w:val="3"/>
              </w:numPr>
              <w:tabs>
                <w:tab w:val="left" w:pos="540"/>
              </w:tabs>
              <w:spacing w:line="300" w:lineRule="exact"/>
              <w:ind w:firstLineChars="0"/>
              <w:jc w:val="both"/>
              <w:rPr>
                <w:rFonts w:ascii="宋体" w:hAnsi="宋体"/>
                <w:b/>
                <w:szCs w:val="21"/>
              </w:rPr>
            </w:pPr>
            <w:r>
              <w:rPr>
                <w:rFonts w:hint="eastAsia" w:ascii="宋体" w:hAnsi="宋体"/>
                <w:b/>
                <w:szCs w:val="21"/>
              </w:rPr>
              <w:t>结合公司的</w:t>
            </w:r>
            <w:r>
              <w:rPr>
                <w:rFonts w:hint="eastAsia" w:ascii="宋体" w:hAnsi="宋体"/>
                <w:b/>
                <w:szCs w:val="21"/>
                <w:lang w:eastAsia="zh-CN"/>
              </w:rPr>
              <w:t>☑</w:t>
            </w:r>
            <w:r>
              <w:rPr>
                <w:rFonts w:hint="eastAsia" w:ascii="宋体" w:hAnsi="宋体"/>
                <w:b/>
                <w:szCs w:val="21"/>
              </w:rPr>
              <w:t>产品</w:t>
            </w:r>
            <w:r>
              <w:rPr>
                <w:rFonts w:ascii="宋体" w:hAnsi="宋体"/>
                <w:b/>
                <w:szCs w:val="21"/>
              </w:rPr>
              <w:t>/</w:t>
            </w:r>
            <w:r>
              <w:rPr>
                <w:rFonts w:hint="eastAsia" w:ascii="宋体" w:hAnsi="宋体"/>
                <w:b/>
                <w:szCs w:val="21"/>
              </w:rPr>
              <w:t>服务□环境因素□危险源，</w:t>
            </w:r>
            <w:r>
              <w:rPr>
                <w:rFonts w:hint="eastAsia" w:ascii="宋体" w:hAnsi="宋体"/>
                <w:b/>
                <w:szCs w:val="21"/>
                <w:lang w:eastAsia="zh-CN"/>
              </w:rPr>
              <w:t>☑</w:t>
            </w:r>
            <w:r>
              <w:rPr>
                <w:rFonts w:hint="eastAsia" w:ascii="宋体" w:hAnsi="宋体"/>
                <w:b/>
                <w:szCs w:val="21"/>
              </w:rPr>
              <w:t>确定□未确定法律法规要求的具体条款，</w:t>
            </w:r>
          </w:p>
          <w:p>
            <w:pPr>
              <w:pStyle w:val="13"/>
              <w:numPr>
                <w:ilvl w:val="0"/>
                <w:numId w:val="3"/>
              </w:numPr>
              <w:tabs>
                <w:tab w:val="left" w:pos="540"/>
              </w:tabs>
              <w:spacing w:line="300" w:lineRule="exact"/>
              <w:ind w:firstLineChars="0"/>
              <w:rPr>
                <w:rFonts w:hint="eastAsia" w:ascii="楷体" w:hAnsi="楷体" w:eastAsia="楷体" w:cs="楷体"/>
                <w:b/>
                <w:sz w:val="21"/>
                <w:szCs w:val="21"/>
              </w:rPr>
            </w:pPr>
            <w:r>
              <w:rPr>
                <w:rFonts w:hint="eastAsia" w:ascii="宋体" w:hAnsi="宋体"/>
                <w:b/>
                <w:szCs w:val="21"/>
              </w:rPr>
              <w:t>法律法规的宣传方式：</w:t>
            </w:r>
          </w:p>
          <w:p>
            <w:pPr>
              <w:pStyle w:val="13"/>
              <w:numPr>
                <w:ilvl w:val="0"/>
                <w:numId w:val="4"/>
              </w:numPr>
              <w:tabs>
                <w:tab w:val="left" w:pos="540"/>
                <w:tab w:val="clear" w:pos="312"/>
              </w:tabs>
              <w:spacing w:line="300" w:lineRule="exact"/>
              <w:ind w:leftChars="0"/>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通过各种列会传达、通报质量管理情况（如工作例会、经营会议等)；</w:t>
            </w:r>
          </w:p>
          <w:p>
            <w:pPr>
              <w:pStyle w:val="13"/>
              <w:numPr>
                <w:ilvl w:val="0"/>
                <w:numId w:val="4"/>
              </w:numPr>
              <w:tabs>
                <w:tab w:val="left" w:pos="540"/>
                <w:tab w:val="clear" w:pos="312"/>
              </w:tabs>
              <w:spacing w:line="300" w:lineRule="exact"/>
              <w:ind w:leftChars="0"/>
              <w:rPr>
                <w:rFonts w:hint="eastAsia" w:ascii="楷体" w:hAnsi="楷体" w:eastAsia="楷体" w:cs="楷体"/>
                <w:b/>
                <w:sz w:val="21"/>
                <w:szCs w:val="21"/>
              </w:rPr>
            </w:pPr>
            <w:r>
              <w:rPr>
                <w:rFonts w:hint="eastAsia" w:ascii="楷体" w:hAnsi="楷体" w:eastAsia="楷体" w:cs="楷体"/>
                <w:bCs/>
                <w:color w:val="000000" w:themeColor="text1"/>
                <w:sz w:val="21"/>
                <w:szCs w:val="21"/>
              </w:rPr>
              <w:t>各部门内部会议等；</w:t>
            </w:r>
          </w:p>
          <w:p>
            <w:pPr>
              <w:pStyle w:val="13"/>
              <w:numPr>
                <w:ilvl w:val="0"/>
                <w:numId w:val="4"/>
              </w:numPr>
              <w:tabs>
                <w:tab w:val="left" w:pos="540"/>
                <w:tab w:val="clear" w:pos="312"/>
              </w:tabs>
              <w:spacing w:line="300" w:lineRule="exact"/>
              <w:ind w:leftChars="0"/>
              <w:rPr>
                <w:rFonts w:hint="eastAsia" w:ascii="楷体" w:hAnsi="楷体" w:eastAsia="楷体" w:cs="楷体"/>
                <w:b/>
                <w:sz w:val="21"/>
                <w:szCs w:val="21"/>
              </w:rPr>
            </w:pPr>
            <w:r>
              <w:rPr>
                <w:rFonts w:hint="eastAsia" w:ascii="楷体" w:hAnsi="楷体" w:eastAsia="楷体" w:cs="楷体"/>
                <w:bCs/>
                <w:color w:val="000000" w:themeColor="text1"/>
                <w:sz w:val="21"/>
                <w:szCs w:val="21"/>
              </w:rPr>
              <w:t>内部文件的学习和传递；</w:t>
            </w:r>
            <w:bookmarkStart w:id="21" w:name="_GoBack"/>
            <w:bookmarkEnd w:id="21"/>
          </w:p>
          <w:p>
            <w:pPr>
              <w:pStyle w:val="13"/>
              <w:numPr>
                <w:ilvl w:val="0"/>
                <w:numId w:val="4"/>
              </w:numPr>
              <w:tabs>
                <w:tab w:val="left" w:pos="540"/>
                <w:tab w:val="clear" w:pos="312"/>
              </w:tabs>
              <w:spacing w:line="300" w:lineRule="exact"/>
              <w:ind w:leftChars="0"/>
              <w:rPr>
                <w:rFonts w:hint="eastAsia" w:ascii="楷体" w:hAnsi="楷体" w:eastAsia="楷体" w:cs="楷体"/>
                <w:b/>
                <w:sz w:val="21"/>
                <w:szCs w:val="21"/>
              </w:rPr>
            </w:pPr>
            <w:r>
              <w:rPr>
                <w:rFonts w:hint="eastAsia" w:ascii="楷体" w:hAnsi="楷体" w:eastAsia="楷体" w:cs="楷体"/>
                <w:bCs/>
                <w:color w:val="000000" w:themeColor="text1"/>
                <w:sz w:val="21"/>
                <w:szCs w:val="21"/>
              </w:rPr>
              <w:t>公司宣传栏等方式</w:t>
            </w:r>
          </w:p>
          <w:p>
            <w:pPr>
              <w:pStyle w:val="13"/>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r>
              <w:rPr>
                <w:rFonts w:hint="eastAsia" w:ascii="宋体" w:hAnsi="宋体"/>
                <w:b/>
                <w:szCs w:val="21"/>
                <w:lang w:eastAsia="zh-CN"/>
              </w:rPr>
              <w:t>：</w:t>
            </w:r>
            <w:r>
              <w:rPr>
                <w:rFonts w:hint="eastAsia" w:ascii="宋体" w:hAnsi="宋体"/>
                <w:b/>
                <w:szCs w:val="21"/>
                <w:lang w:val="en-US" w:eastAsia="zh-CN"/>
              </w:rPr>
              <w:t>是</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rPr>
                <w:rFonts w:hint="eastAsia" w:ascii="楷体" w:hAnsi="楷体" w:eastAsia="楷体" w:cs="楷体"/>
                <w:sz w:val="21"/>
                <w:szCs w:val="21"/>
              </w:rPr>
            </w:pPr>
            <w:r>
              <w:rPr>
                <w:rFonts w:hint="eastAsia" w:ascii="楷体" w:hAnsi="楷体" w:eastAsia="楷体" w:cs="楷体"/>
                <w:sz w:val="21"/>
                <w:szCs w:val="21"/>
              </w:rPr>
              <w:t>●公司总的质量目标为：</w:t>
            </w:r>
          </w:p>
          <w:p>
            <w:pPr>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产品一次交验合格率&gt;99% (废品率&lt;1%) （本次合格产品数量/一次交验产品总量*100%）</w:t>
            </w:r>
          </w:p>
          <w:p>
            <w:pPr>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顾客满意率&gt;95%（顾客满意分数总和/总份数*100%）</w:t>
            </w:r>
          </w:p>
          <w:p>
            <w:pPr>
              <w:rPr>
                <w:rFonts w:hint="eastAsia" w:ascii="楷体" w:hAnsi="楷体" w:eastAsia="楷体" w:cs="楷体"/>
                <w:sz w:val="21"/>
                <w:szCs w:val="21"/>
              </w:rPr>
            </w:pPr>
            <w:r>
              <w:rPr>
                <w:rFonts w:hint="eastAsia" w:ascii="楷体" w:hAnsi="楷体" w:eastAsia="楷体" w:cs="楷体"/>
                <w:sz w:val="21"/>
                <w:szCs w:val="21"/>
                <w:lang w:val="en-US" w:eastAsia="zh-CN"/>
              </w:rPr>
              <w:t>3、</w:t>
            </w:r>
            <w:r>
              <w:rPr>
                <w:rFonts w:hint="eastAsia" w:ascii="楷体" w:hAnsi="楷体" w:eastAsia="楷体" w:cs="楷体"/>
                <w:sz w:val="21"/>
                <w:szCs w:val="21"/>
              </w:rPr>
              <w:t>合同履约率100%（周期已履约合同数/周期所签合同总数*100%）</w:t>
            </w:r>
          </w:p>
          <w:p>
            <w:pPr>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2020年</w:t>
            </w:r>
            <w:r>
              <w:rPr>
                <w:rFonts w:hint="eastAsia" w:ascii="楷体" w:hAnsi="楷体" w:eastAsia="楷体" w:cs="楷体"/>
                <w:sz w:val="21"/>
                <w:szCs w:val="21"/>
                <w:lang w:val="en-US" w:eastAsia="zh-CN"/>
              </w:rPr>
              <w:t>度</w:t>
            </w:r>
            <w:r>
              <w:rPr>
                <w:rFonts w:hint="eastAsia" w:ascii="楷体" w:hAnsi="楷体" w:eastAsia="楷体" w:cs="楷体"/>
                <w:sz w:val="21"/>
                <w:szCs w:val="21"/>
              </w:rPr>
              <w:t>目标完成情况：均完成100%；</w:t>
            </w:r>
          </w:p>
          <w:p>
            <w:pPr>
              <w:spacing w:line="240" w:lineRule="exact"/>
              <w:rPr>
                <w:rFonts w:ascii="宋体" w:hAnsi="宋体"/>
                <w:b/>
                <w:sz w:val="21"/>
                <w:szCs w:val="21"/>
              </w:rPr>
            </w:pPr>
            <w:r>
              <w:rPr>
                <w:rFonts w:hint="eastAsia" w:ascii="楷体" w:hAnsi="楷体" w:eastAsia="楷体" w:cs="楷体"/>
                <w:sz w:val="21"/>
                <w:szCs w:val="21"/>
              </w:rPr>
              <w:t>●公司的质量目标已分解到相关职能部门，规定了计算方法及统计周期，符合要求。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sz w:val="21"/>
                <w:szCs w:val="21"/>
              </w:rPr>
            </w:pPr>
            <w:r>
              <w:rPr>
                <w:rFonts w:hint="eastAsia" w:ascii="楷体" w:hAnsi="楷体" w:eastAsia="楷体" w:cs="楷体"/>
                <w:sz w:val="21"/>
                <w:szCs w:val="21"/>
              </w:rPr>
              <w:t>本次监督不涉及此条款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numPr>
                <w:ilvl w:val="0"/>
                <w:numId w:val="5"/>
              </w:numPr>
              <w:rPr>
                <w:rFonts w:hint="eastAsia" w:ascii="楷体" w:hAnsi="楷体" w:eastAsia="楷体" w:cs="楷体"/>
                <w:sz w:val="21"/>
                <w:szCs w:val="21"/>
              </w:rPr>
            </w:pPr>
            <w:r>
              <w:rPr>
                <w:rFonts w:hint="eastAsia" w:ascii="楷体" w:hAnsi="楷体" w:eastAsia="楷体" w:cs="楷体"/>
                <w:sz w:val="21"/>
                <w:szCs w:val="21"/>
                <w:lang w:val="en-US" w:eastAsia="zh-CN"/>
              </w:rPr>
              <w:t>人力资源：</w:t>
            </w:r>
            <w:r>
              <w:rPr>
                <w:rFonts w:hint="eastAsia" w:ascii="楷体" w:hAnsi="楷体" w:eastAsia="楷体" w:cs="楷体"/>
                <w:sz w:val="21"/>
                <w:szCs w:val="21"/>
              </w:rPr>
              <w:t>企业目前主要工作人员11名，包括管理、销售和采购人员、生产和质检人员等。可满足产品和服务控制需要。</w:t>
            </w:r>
          </w:p>
          <w:p>
            <w:pPr>
              <w:spacing w:line="30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numPr>
                <w:numId w:val="0"/>
              </w:numPr>
              <w:rPr>
                <w:rFonts w:hint="eastAsia" w:ascii="楷体" w:hAnsi="楷体" w:eastAsia="楷体" w:cs="楷体"/>
                <w:sz w:val="21"/>
                <w:szCs w:val="21"/>
              </w:rPr>
            </w:pPr>
            <w:r>
              <w:rPr>
                <w:rFonts w:hint="eastAsia" w:ascii="楷体" w:hAnsi="楷体" w:eastAsia="楷体" w:cs="楷体"/>
                <w:sz w:val="21"/>
                <w:szCs w:val="21"/>
                <w:lang w:val="en-US" w:eastAsia="zh-CN"/>
              </w:rPr>
              <w:t>基础设施：厂房、生产设备、办公设施</w:t>
            </w:r>
          </w:p>
          <w:p>
            <w:pPr>
              <w:numPr>
                <w:ilvl w:val="0"/>
                <w:numId w:val="0"/>
              </w:numPr>
              <w:rPr>
                <w:rFonts w:hint="eastAsia" w:ascii="楷体" w:hAnsi="楷体" w:eastAsia="楷体" w:cs="楷体"/>
                <w:sz w:val="21"/>
                <w:szCs w:val="21"/>
              </w:rPr>
            </w:pPr>
            <w:r>
              <w:rPr>
                <w:rFonts w:hint="eastAsia" w:ascii="楷体" w:hAnsi="楷体" w:eastAsia="楷体" w:cs="楷体"/>
                <w:sz w:val="21"/>
                <w:szCs w:val="21"/>
                <w:lang w:val="en-US" w:eastAsia="zh-CN"/>
              </w:rPr>
              <w:t>生产设备：</w:t>
            </w:r>
            <w:r>
              <w:rPr>
                <w:rFonts w:hint="eastAsia" w:ascii="楷体" w:hAnsi="楷体" w:eastAsia="楷体" w:cs="楷体"/>
                <w:sz w:val="21"/>
                <w:szCs w:val="21"/>
              </w:rPr>
              <w:t>配备了冲床、万能液压机、剪板机、摇臂钻床、激光切割机、氧气等生产设备</w:t>
            </w:r>
          </w:p>
          <w:p>
            <w:pPr>
              <w:numPr>
                <w:ilvl w:val="0"/>
                <w:numId w:val="0"/>
              </w:numPr>
              <w:rPr>
                <w:rFonts w:hint="eastAsia" w:ascii="楷体" w:hAnsi="楷体" w:eastAsia="楷体" w:cs="楷体"/>
                <w:sz w:val="21"/>
                <w:szCs w:val="21"/>
              </w:rPr>
            </w:pPr>
            <w:r>
              <w:rPr>
                <w:rFonts w:hint="eastAsia" w:ascii="楷体" w:hAnsi="楷体" w:eastAsia="楷体" w:cs="楷体"/>
                <w:sz w:val="21"/>
                <w:szCs w:val="21"/>
                <w:lang w:val="en-US" w:eastAsia="zh-CN"/>
              </w:rPr>
              <w:t>办公设备：</w:t>
            </w:r>
            <w:r>
              <w:rPr>
                <w:rFonts w:hint="eastAsia" w:ascii="楷体" w:hAnsi="楷体" w:eastAsia="楷体" w:cs="楷体"/>
                <w:sz w:val="21"/>
                <w:szCs w:val="21"/>
              </w:rPr>
              <w:t>电话，电脑、打印机、复印机、空调、办公桌椅等办公和通讯等设备/设施。</w:t>
            </w:r>
          </w:p>
          <w:p>
            <w:pPr>
              <w:pStyle w:val="2"/>
              <w:ind w:left="0" w:leftChars="0" w:firstLine="0" w:firstLineChars="0"/>
              <w:rPr>
                <w:rFonts w:hint="eastAsia" w:ascii="楷体" w:hAnsi="楷体" w:eastAsia="楷体" w:cs="楷体"/>
                <w:color w:val="auto"/>
                <w:sz w:val="21"/>
                <w:szCs w:val="21"/>
                <w:u w:val="none"/>
                <w:lang w:val="en-US" w:eastAsia="zh-CN"/>
              </w:rPr>
            </w:pPr>
            <w:r>
              <w:rPr>
                <w:rFonts w:hint="eastAsia" w:ascii="楷体" w:hAnsi="楷体" w:eastAsia="楷体" w:cs="楷体"/>
                <w:color w:val="auto"/>
                <w:sz w:val="21"/>
                <w:szCs w:val="21"/>
                <w:u w:val="none"/>
                <w:lang w:val="en-US" w:eastAsia="zh-CN"/>
              </w:rPr>
              <w:t>监视测量设备：</w:t>
            </w:r>
            <w:r>
              <w:rPr>
                <w:rFonts w:hint="eastAsia" w:ascii="楷体" w:hAnsi="楷体" w:eastAsia="楷体" w:cs="楷体"/>
                <w:color w:val="auto"/>
                <w:sz w:val="21"/>
                <w:szCs w:val="21"/>
                <w:u w:val="none"/>
              </w:rPr>
              <w:t>高度尺、卡尺等</w:t>
            </w:r>
            <w:r>
              <w:rPr>
                <w:rFonts w:hint="eastAsia" w:ascii="楷体" w:hAnsi="楷体" w:eastAsia="楷体" w:cs="楷体"/>
                <w:color w:val="auto"/>
                <w:sz w:val="21"/>
                <w:szCs w:val="21"/>
                <w:u w:val="none"/>
                <w:lang w:val="en-US" w:eastAsia="zh-CN"/>
              </w:rPr>
              <w:t xml:space="preserve"> </w:t>
            </w:r>
          </w:p>
          <w:p>
            <w:pPr>
              <w:spacing w:line="240" w:lineRule="exact"/>
              <w:rPr>
                <w:rFonts w:ascii="宋体" w:hAnsi="宋体"/>
                <w:b/>
                <w:sz w:val="21"/>
                <w:szCs w:val="21"/>
              </w:rPr>
            </w:pPr>
            <w:r>
              <w:rPr>
                <w:rFonts w:hint="eastAsia" w:ascii="楷体" w:hAnsi="楷体" w:eastAsia="楷体" w:cs="楷体"/>
                <w:sz w:val="21"/>
                <w:szCs w:val="21"/>
              </w:rPr>
              <w:t>特种设备：起重机2台，一台2吨、一台5吨。无其他特种设备。</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rPr>
                <w:rFonts w:ascii="宋体" w:hAnsi="宋体"/>
                <w:b/>
                <w:sz w:val="21"/>
                <w:szCs w:val="21"/>
              </w:rPr>
            </w:pPr>
            <w:r>
              <w:rPr>
                <w:rFonts w:hint="eastAsia" w:ascii="楷体" w:hAnsi="楷体" w:eastAsia="楷体" w:cs="楷体"/>
                <w:sz w:val="21"/>
                <w:szCs w:val="21"/>
              </w:rPr>
              <w:t>本次监督不涉及此条款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rPr>
            </w:pPr>
            <w:r>
              <w:rPr>
                <w:rFonts w:hint="eastAsia"/>
              </w:rPr>
              <w:t>监视和测量资源</w:t>
            </w:r>
          </w:p>
          <w:p>
            <w:pPr>
              <w:bidi w:val="0"/>
              <w:rPr>
                <w:rFonts w:hint="eastAsia" w:ascii="楷体" w:hAnsi="楷体" w:eastAsia="楷体" w:cs="楷体"/>
                <w:sz w:val="21"/>
                <w:szCs w:val="21"/>
              </w:rPr>
            </w:pPr>
            <w:r>
              <w:rPr>
                <w:rFonts w:hint="eastAsia" w:ascii="楷体" w:hAnsi="楷体" w:eastAsia="楷体" w:cs="楷体"/>
                <w:sz w:val="21"/>
                <w:szCs w:val="21"/>
              </w:rPr>
              <w:t>企业编制计量器具台账，记录了设备编号、名称、规格型号等内容。</w:t>
            </w:r>
          </w:p>
          <w:p>
            <w:pPr>
              <w:bidi w:val="0"/>
              <w:rPr>
                <w:rFonts w:hint="eastAsia" w:ascii="楷体" w:hAnsi="楷体" w:eastAsia="楷体" w:cs="楷体"/>
                <w:sz w:val="21"/>
                <w:szCs w:val="21"/>
              </w:rPr>
            </w:pPr>
            <w:r>
              <w:rPr>
                <w:rFonts w:hint="eastAsia" w:ascii="楷体" w:hAnsi="楷体" w:eastAsia="楷体" w:cs="楷体"/>
                <w:sz w:val="21"/>
                <w:szCs w:val="21"/>
              </w:rPr>
              <w:t>组织配置的监视测量设备主要为游标卡尺、高度尺等。基本满足检验需要。</w:t>
            </w:r>
          </w:p>
          <w:p>
            <w:pPr>
              <w:bidi w:val="0"/>
              <w:rPr>
                <w:rFonts w:hint="eastAsia" w:ascii="楷体" w:hAnsi="楷体" w:eastAsia="楷体" w:cs="楷体"/>
                <w:sz w:val="21"/>
                <w:szCs w:val="21"/>
              </w:rPr>
            </w:pPr>
            <w:r>
              <w:rPr>
                <w:rFonts w:hint="eastAsia" w:ascii="楷体" w:hAnsi="楷体" w:eastAsia="楷体" w:cs="楷体"/>
                <w:sz w:val="21"/>
                <w:szCs w:val="21"/>
              </w:rPr>
              <w:t>抽设备校准/验证情况，符合要求</w:t>
            </w:r>
          </w:p>
          <w:p>
            <w:pPr>
              <w:bidi w:val="0"/>
              <w:rPr>
                <w:rFonts w:hint="eastAsia" w:ascii="楷体" w:hAnsi="楷体" w:eastAsia="楷体" w:cs="楷体"/>
                <w:sz w:val="21"/>
                <w:szCs w:val="21"/>
              </w:rPr>
            </w:pPr>
            <w:r>
              <w:rPr>
                <w:rFonts w:hint="eastAsia" w:ascii="楷体" w:hAnsi="楷体" w:eastAsia="楷体" w:cs="楷体"/>
                <w:sz w:val="21"/>
                <w:szCs w:val="21"/>
              </w:rPr>
              <w:t>根据企业目前经营的产品品类的检测和客户要求，现有检测器具基本监事和测量要求。按照监视测量管理要求，公司安排人员进行日常维护保养，定期进行鉴定或校准，确保计量器具的有效使用。</w:t>
            </w:r>
          </w:p>
          <w:p>
            <w:pPr>
              <w:bidi w:val="0"/>
            </w:pPr>
            <w:r>
              <w:rPr>
                <w:rFonts w:hint="eastAsia" w:ascii="楷体" w:hAnsi="楷体" w:eastAsia="楷体" w:cs="楷体"/>
                <w:sz w:val="21"/>
                <w:szCs w:val="21"/>
              </w:rPr>
              <w:t>生产现场使用的监视测量设备由车间负责保管，检验用的测量设备由质检人员专人负责，防止潮湿、磕碰和损坏。未发生使用过程中失效的现象，如果出现，清楚应立即停止使用，送具有计量资质的检定部门检定，并对已往所检结果重新检验。监视和测量用软件均为设备自带，设备校准时同事校准，版本升级时设备返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240" w:lineRule="exact"/>
              <w:rPr>
                <w:rFonts w:ascii="宋体" w:hAnsi="宋体"/>
                <w:b/>
                <w:sz w:val="21"/>
                <w:szCs w:val="21"/>
              </w:rPr>
            </w:pPr>
            <w:r>
              <w:rPr>
                <w:rFonts w:hint="eastAsia" w:ascii="楷体" w:hAnsi="楷体" w:eastAsia="楷体" w:cs="楷体"/>
                <w:sz w:val="21"/>
                <w:szCs w:val="21"/>
              </w:rPr>
              <w:t>本次监督不涉及此条款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pPr>
            <w:r>
              <w:t xml:space="preserve">1. </w:t>
            </w:r>
            <w:r>
              <w:rPr>
                <w:rFonts w:hint="eastAsia"/>
              </w:rPr>
              <w:t>针对方针的管理职责评审</w:t>
            </w:r>
          </w:p>
          <w:p>
            <w:pPr>
              <w:spacing w:line="300" w:lineRule="exact"/>
              <w:ind w:left="1"/>
              <w:rPr>
                <w:rFonts w:hint="eastAsia"/>
              </w:rPr>
            </w:pPr>
            <w:r>
              <w:rPr>
                <w:rFonts w:hint="eastAsia"/>
              </w:rPr>
              <w:t>（包括针对组织宗旨，制定相关管理方针政策、确保方针为员工理解并在运营中实施，监视方针的实施并评审方针的适宜性）</w:t>
            </w:r>
          </w:p>
          <w:p>
            <w:pPr>
              <w:bidi w:val="0"/>
              <w:rPr>
                <w:rFonts w:hint="eastAsia" w:ascii="楷体" w:hAnsi="楷体" w:eastAsia="楷体" w:cs="楷体"/>
                <w:sz w:val="21"/>
                <w:szCs w:val="21"/>
              </w:rPr>
            </w:pPr>
            <w:r>
              <w:rPr>
                <w:rFonts w:hint="eastAsia" w:ascii="楷体" w:hAnsi="楷体" w:eastAsia="楷体" w:cs="楷体"/>
                <w:sz w:val="21"/>
                <w:szCs w:val="21"/>
              </w:rPr>
              <w:t>●企业策划并制定了质量方针：</w:t>
            </w:r>
          </w:p>
          <w:p>
            <w:pPr>
              <w:bidi w:val="0"/>
              <w:rPr>
                <w:rFonts w:hint="eastAsia" w:ascii="楷体" w:hAnsi="楷体" w:eastAsia="楷体" w:cs="楷体"/>
                <w:sz w:val="21"/>
                <w:szCs w:val="21"/>
              </w:rPr>
            </w:pPr>
            <w:r>
              <w:rPr>
                <w:rFonts w:hint="eastAsia" w:ascii="楷体" w:hAnsi="楷体" w:eastAsia="楷体" w:cs="楷体"/>
                <w:sz w:val="21"/>
                <w:szCs w:val="21"/>
              </w:rPr>
              <w:t>“诚信为本，以质量求生存，科技创新，追求行业领先水平”</w:t>
            </w:r>
          </w:p>
          <w:p>
            <w:pPr>
              <w:bidi w:val="0"/>
              <w:rPr>
                <w:rFonts w:hint="eastAsia" w:ascii="楷体" w:hAnsi="楷体" w:eastAsia="楷体" w:cs="楷体"/>
                <w:sz w:val="21"/>
                <w:szCs w:val="21"/>
              </w:rPr>
            </w:pPr>
            <w:r>
              <w:rPr>
                <w:rFonts w:hint="eastAsia" w:ascii="楷体" w:hAnsi="楷体" w:eastAsia="楷体" w:cs="楷体"/>
                <w:sz w:val="21"/>
                <w:szCs w:val="21"/>
              </w:rPr>
              <w:t>方针在质量手册中予以规定，经总经理批准实施。</w:t>
            </w:r>
          </w:p>
          <w:p>
            <w:pPr>
              <w:bidi w:val="0"/>
            </w:pPr>
            <w:r>
              <w:rPr>
                <w:rFonts w:hint="eastAsia" w:ascii="楷体" w:hAnsi="楷体" w:eastAsia="楷体" w:cs="楷体"/>
                <w:sz w:val="21"/>
                <w:szCs w:val="21"/>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内部沟通的情况：内部沟通方式：会议、数据信息传递、网络传播</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 xml:space="preserve">                内部沟通的效果：良好</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组织对外联络，关注顾客的感受情况（QMS）：与客户、供应商、政府部门及其他相关方的沟通等。</w:t>
            </w:r>
          </w:p>
          <w:p>
            <w:pPr>
              <w:spacing w:line="240" w:lineRule="exact"/>
              <w:rPr>
                <w:rFonts w:ascii="宋体" w:hAnsi="宋体"/>
                <w:b/>
                <w:sz w:val="21"/>
                <w:szCs w:val="21"/>
              </w:rPr>
            </w:pPr>
            <w:r>
              <w:rPr>
                <w:rFonts w:hint="eastAsia" w:ascii="楷体" w:hAnsi="楷体" w:eastAsia="楷体" w:cs="楷体"/>
                <w:bCs/>
                <w:color w:val="000000" w:themeColor="text1"/>
                <w:sz w:val="21"/>
                <w:szCs w:val="21"/>
              </w:rPr>
              <w:t>内外部信息交流/沟通方式可行、有效。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r>
              <w:t>3.  QMS</w:t>
            </w:r>
            <w:r>
              <w:rPr>
                <w:rFonts w:hint="eastAsia"/>
              </w:rPr>
              <w:t>组织对重要过程实施控制的结果</w:t>
            </w:r>
          </w:p>
          <w:p>
            <w:pPr>
              <w:spacing w:line="240" w:lineRule="exact"/>
              <w:ind w:left="143" w:hanging="167" w:hangingChars="79"/>
              <w:rPr>
                <w:rFonts w:hint="eastAsia" w:ascii="楷体" w:hAnsi="楷体" w:eastAsia="楷体" w:cs="楷体"/>
                <w:color w:val="000000" w:themeColor="text1"/>
                <w:sz w:val="21"/>
                <w:szCs w:val="21"/>
              </w:rPr>
            </w:pPr>
            <w:r>
              <w:rPr>
                <w:rFonts w:hint="eastAsia" w:ascii="楷体" w:hAnsi="楷体" w:eastAsia="楷体" w:cs="楷体"/>
                <w:b/>
                <w:color w:val="000000" w:themeColor="text1"/>
                <w:sz w:val="21"/>
                <w:szCs w:val="21"/>
              </w:rPr>
              <w:t>企业根据客户要求对生产进行策划</w:t>
            </w:r>
            <w:r>
              <w:rPr>
                <w:rFonts w:hint="eastAsia" w:ascii="楷体" w:hAnsi="楷体" w:eastAsia="楷体" w:cs="楷体"/>
                <w:color w:val="000000" w:themeColor="text1"/>
                <w:sz w:val="21"/>
                <w:szCs w:val="21"/>
              </w:rPr>
              <w:t>：</w:t>
            </w:r>
          </w:p>
          <w:p>
            <w:pPr>
              <w:spacing w:line="240" w:lineRule="exact"/>
              <w:ind w:left="142" w:hanging="165" w:hangingChars="79"/>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1、确定产品和服务的要求：法律法规及客户要求 ；东方（十堰）底盘部件有限公司标准：EQL-27、EQY-273-2002、EQY-273-2002、DFLCB-1009-2006金属冲压制件的普通尺寸公差等</w:t>
            </w:r>
          </w:p>
          <w:p>
            <w:pPr>
              <w:spacing w:line="240" w:lineRule="exact"/>
              <w:ind w:left="142" w:hanging="165" w:hangingChars="79"/>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2、制定目标，目标基本合理、可测量、可达到</w:t>
            </w:r>
          </w:p>
          <w:p>
            <w:pPr>
              <w:spacing w:line="240" w:lineRule="exact"/>
              <w:ind w:left="142" w:hanging="165" w:hangingChars="79"/>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3、流程：领料---剪切下料---落料冲孔---成型---打码---成型---入库（按产品具体安排流程）</w:t>
            </w:r>
          </w:p>
          <w:p>
            <w:pPr>
              <w:spacing w:line="240" w:lineRule="exact"/>
              <w:ind w:left="142" w:hanging="165" w:hangingChars="79"/>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4、策划了设备操作规程、图纸等作业指导文件，及产品检验记录等记录。</w:t>
            </w:r>
          </w:p>
          <w:p>
            <w:pPr>
              <w:spacing w:line="240" w:lineRule="exact"/>
              <w:ind w:left="142" w:hanging="165" w:hangingChars="79"/>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5、所需资源：配备了冲床、万能液压机、剪板机、摇臂钻床、激光切割机生产设备及高度尺、卡尺等检测设备，人员经过培训上岗等。基本满足工作需要。资源基本满足。</w:t>
            </w:r>
          </w:p>
          <w:p>
            <w:pPr>
              <w:spacing w:line="240" w:lineRule="exact"/>
              <w:ind w:left="142" w:hanging="165" w:hangingChars="79"/>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6、遵照岗位职责、设备操作规程、工艺流程、图纸等作业指导文件实施过程控制。</w:t>
            </w:r>
          </w:p>
          <w:p>
            <w:pPr>
              <w:spacing w:line="240" w:lineRule="exact"/>
              <w:ind w:left="142" w:hanging="165" w:hangingChars="79"/>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产品通过检验来对产品实现过程进行控制。生产过程中由目负责人组织进行检查，项目完成后由客户进行验收，符合要求</w:t>
            </w:r>
          </w:p>
          <w:p>
            <w:pPr>
              <w:spacing w:line="240" w:lineRule="exact"/>
              <w:ind w:left="142" w:hanging="165" w:hangingChars="79"/>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7、</w:t>
            </w:r>
            <w:r>
              <w:rPr>
                <w:rFonts w:hint="eastAsia" w:ascii="楷体" w:hAnsi="楷体" w:eastAsia="楷体" w:cs="楷体"/>
                <w:color w:val="000000" w:themeColor="text1"/>
                <w:sz w:val="21"/>
                <w:szCs w:val="21"/>
              </w:rPr>
              <w:tab/>
            </w:r>
            <w:r>
              <w:rPr>
                <w:rFonts w:hint="eastAsia" w:ascii="楷体" w:hAnsi="楷体" w:eastAsia="楷体" w:cs="楷体"/>
                <w:color w:val="000000" w:themeColor="text1"/>
                <w:sz w:val="21"/>
                <w:szCs w:val="21"/>
              </w:rPr>
              <w:t>策划了订单（生产计划单）、产品检验记录等，记录均保期3年。由生产技术部统一汇总交办公室存储。</w:t>
            </w:r>
          </w:p>
          <w:p>
            <w:pPr>
              <w:spacing w:line="240" w:lineRule="exact"/>
              <w:ind w:left="142" w:hanging="165" w:hangingChars="79"/>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8、通过识别与评价对公司目标和战略方向相关，影响其实现质量管理体系预期结果的各种内外部环境因素，有效应对风险和机遇。</w:t>
            </w:r>
          </w:p>
          <w:p>
            <w:pPr>
              <w:spacing w:line="240" w:lineRule="exact"/>
              <w:ind w:left="142" w:hanging="165" w:hangingChars="79"/>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 xml:space="preserve">9、外包过程：无 </w:t>
            </w:r>
          </w:p>
          <w:p>
            <w:pPr>
              <w:spacing w:line="240" w:lineRule="exact"/>
              <w:ind w:left="142" w:hanging="165" w:hangingChars="79"/>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10、策划适合组织体系运行需要，未发生更改，策划情况符合标准要求</w:t>
            </w:r>
          </w:p>
          <w:p>
            <w:pPr>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产品实现策划的输出的信息充分，输出内容满足标准要求和企业实际</w:t>
            </w:r>
          </w:p>
          <w:p>
            <w:pPr>
              <w:pStyle w:val="15"/>
              <w:rPr>
                <w:rFonts w:hint="eastAsia" w:ascii="楷体" w:hAnsi="楷体" w:eastAsia="楷体" w:cs="楷体"/>
                <w:sz w:val="21"/>
                <w:szCs w:val="21"/>
              </w:rPr>
            </w:pPr>
          </w:p>
          <w:p>
            <w:pPr>
              <w:rPr>
                <w:rFonts w:hint="eastAsia" w:ascii="楷体" w:hAnsi="楷体" w:eastAsia="楷体" w:cs="楷体"/>
                <w:b/>
                <w:sz w:val="21"/>
                <w:szCs w:val="21"/>
              </w:rPr>
            </w:pPr>
            <w:r>
              <w:rPr>
                <w:rFonts w:hint="eastAsia" w:ascii="楷体" w:hAnsi="楷体" w:eastAsia="楷体" w:cs="楷体"/>
                <w:b/>
                <w:sz w:val="21"/>
                <w:szCs w:val="21"/>
              </w:rPr>
              <w:t>设计开发：</w:t>
            </w:r>
          </w:p>
          <w:p>
            <w:pPr>
              <w:rPr>
                <w:rFonts w:hint="eastAsia" w:ascii="楷体" w:hAnsi="楷体" w:eastAsia="楷体" w:cs="楷体"/>
                <w:sz w:val="21"/>
                <w:szCs w:val="21"/>
              </w:rPr>
            </w:pPr>
            <w:r>
              <w:rPr>
                <w:rFonts w:hint="eastAsia" w:ascii="楷体" w:hAnsi="楷体" w:eastAsia="楷体" w:cs="楷体"/>
                <w:sz w:val="21"/>
                <w:szCs w:val="21"/>
              </w:rPr>
              <w:t>该组织依据国家/行业标准/顾客要求／图纸进行加工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p>
            <w:pPr>
              <w:pStyle w:val="15"/>
              <w:rPr>
                <w:rFonts w:hint="eastAsia" w:ascii="楷体" w:hAnsi="楷体" w:eastAsia="楷体" w:cs="楷体"/>
                <w:sz w:val="21"/>
                <w:szCs w:val="21"/>
              </w:rPr>
            </w:pPr>
          </w:p>
          <w:p>
            <w:pPr>
              <w:pStyle w:val="15"/>
              <w:rPr>
                <w:rFonts w:hint="eastAsia" w:ascii="楷体" w:hAnsi="楷体" w:eastAsia="楷体" w:cs="楷体"/>
                <w:b/>
                <w:sz w:val="21"/>
                <w:szCs w:val="21"/>
              </w:rPr>
            </w:pPr>
            <w:r>
              <w:rPr>
                <w:rFonts w:hint="eastAsia" w:ascii="楷体" w:hAnsi="楷体" w:eastAsia="楷体" w:cs="楷体"/>
                <w:b/>
                <w:sz w:val="21"/>
                <w:szCs w:val="21"/>
              </w:rPr>
              <w:t>生产及服务过程控制（销售）</w:t>
            </w:r>
          </w:p>
          <w:p>
            <w:pPr>
              <w:pStyle w:val="15"/>
              <w:rPr>
                <w:rFonts w:hint="eastAsia" w:ascii="楷体" w:hAnsi="楷体" w:eastAsia="楷体" w:cs="楷体"/>
                <w:sz w:val="21"/>
                <w:szCs w:val="21"/>
              </w:rPr>
            </w:pPr>
            <w:r>
              <w:rPr>
                <w:rFonts w:hint="eastAsia" w:ascii="楷体" w:hAnsi="楷体" w:eastAsia="楷体" w:cs="楷体"/>
                <w:sz w:val="21"/>
                <w:szCs w:val="21"/>
              </w:rPr>
              <w:t>1、销售部获取销售信息，与客户洽谈，在签订合同前对客户要求进行评审，确认可以满足行业有关法律、法规要求和公司规定及客户要求时，签订合同，根据销售合同为客户提供服务。</w:t>
            </w:r>
          </w:p>
          <w:p>
            <w:pPr>
              <w:pStyle w:val="15"/>
              <w:rPr>
                <w:rFonts w:hint="eastAsia" w:ascii="楷体" w:hAnsi="楷体" w:eastAsia="楷体" w:cs="楷体"/>
                <w:sz w:val="21"/>
                <w:szCs w:val="21"/>
              </w:rPr>
            </w:pPr>
            <w:r>
              <w:rPr>
                <w:rFonts w:hint="eastAsia" w:ascii="楷体" w:hAnsi="楷体" w:eastAsia="楷体" w:cs="楷体"/>
                <w:sz w:val="21"/>
                <w:szCs w:val="21"/>
              </w:rPr>
              <w:t>产品销售流程：客户信息收集---客户洽谈---签订合同---采购产品—验收---客户回访</w:t>
            </w:r>
          </w:p>
          <w:p>
            <w:pPr>
              <w:pStyle w:val="15"/>
              <w:rPr>
                <w:rFonts w:cs="Times New Roman" w:asciiTheme="minorEastAsia" w:hAnsiTheme="minorEastAsia" w:eastAsiaTheme="minorEastAsia"/>
                <w:bCs/>
                <w:spacing w:val="10"/>
                <w:kern w:val="2"/>
                <w:sz w:val="18"/>
                <w:szCs w:val="18"/>
                <w:lang w:val="en-US" w:eastAsia="zh-CN" w:bidi="ar-SA"/>
              </w:rPr>
            </w:pPr>
            <w:r>
              <w:rPr>
                <w:rFonts w:hint="eastAsia" w:ascii="楷体" w:hAnsi="楷体" w:eastAsia="楷体" w:cs="楷体"/>
                <w:sz w:val="21"/>
                <w:szCs w:val="21"/>
              </w:rPr>
              <w:t>确定了销售服务为需确认过程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rPr>
                <w:rFonts w:hint="eastAsia" w:ascii="楷体" w:hAnsi="楷体" w:eastAsia="楷体" w:cs="楷体"/>
                <w:sz w:val="18"/>
                <w:szCs w:val="18"/>
              </w:rPr>
            </w:pPr>
            <w:r>
              <w:rPr>
                <w:rFonts w:hint="eastAsia" w:ascii="楷体" w:hAnsi="楷体" w:eastAsia="楷体" w:cs="楷体"/>
                <w:sz w:val="18"/>
                <w:szCs w:val="18"/>
              </w:rPr>
              <w:t>2、监视测量资源：公司针对产品和服务的特点编制有职能分配与部门职责、《销售管理制度》《销售过程检验规范》及客户提供产品检验规范等作业规范。</w:t>
            </w:r>
          </w:p>
          <w:p>
            <w:pPr>
              <w:rPr>
                <w:rFonts w:hint="eastAsia" w:ascii="楷体" w:hAnsi="楷体" w:eastAsia="楷体" w:cs="楷体"/>
                <w:sz w:val="18"/>
                <w:szCs w:val="18"/>
              </w:rPr>
            </w:pPr>
            <w:r>
              <w:rPr>
                <w:rFonts w:hint="eastAsia" w:ascii="楷体" w:hAnsi="楷体" w:eastAsia="楷体" w:cs="楷体"/>
                <w:sz w:val="18"/>
                <w:szCs w:val="18"/>
              </w:rPr>
              <w:t>通过日常顾客满意度调查表等形式对销售服务过程进行监测。具体 见8.6条款抽样。</w:t>
            </w:r>
          </w:p>
          <w:p>
            <w:pPr>
              <w:rPr>
                <w:rFonts w:hint="eastAsia" w:ascii="楷体" w:hAnsi="楷体" w:eastAsia="楷体" w:cs="楷体"/>
                <w:sz w:val="18"/>
                <w:szCs w:val="18"/>
              </w:rPr>
            </w:pPr>
            <w:r>
              <w:rPr>
                <w:rFonts w:hint="eastAsia" w:ascii="楷体" w:hAnsi="楷体" w:eastAsia="楷体" w:cs="楷体"/>
                <w:sz w:val="18"/>
                <w:szCs w:val="18"/>
              </w:rPr>
              <w:t>3、接收准则：识别了规范和接收和放行准则：产品销售过程符合《合同法》等国家法律法规要求及合同要求等接收准则。</w:t>
            </w:r>
          </w:p>
          <w:p>
            <w:pPr>
              <w:rPr>
                <w:rFonts w:hint="eastAsia" w:ascii="楷体" w:hAnsi="楷体" w:eastAsia="楷体" w:cs="楷体"/>
                <w:sz w:val="18"/>
                <w:szCs w:val="18"/>
              </w:rPr>
            </w:pPr>
            <w:r>
              <w:rPr>
                <w:rFonts w:hint="eastAsia" w:ascii="楷体" w:hAnsi="楷体" w:eastAsia="楷体" w:cs="楷体"/>
                <w:sz w:val="18"/>
                <w:szCs w:val="18"/>
              </w:rPr>
              <w:t>现场审核获悉，销售部订单要求，在合格供方采购客户所需的产品转卖给顾客，相关责任人员负责与供方单位和顾客联络，与供方协调产品采购和客户协调产品的交货事宜。</w:t>
            </w:r>
          </w:p>
          <w:p>
            <w:pPr>
              <w:rPr>
                <w:rFonts w:hint="eastAsia" w:ascii="楷体" w:hAnsi="楷体" w:eastAsia="楷体" w:cs="楷体"/>
                <w:sz w:val="18"/>
                <w:szCs w:val="18"/>
              </w:rPr>
            </w:pPr>
            <w:r>
              <w:rPr>
                <w:rFonts w:hint="eastAsia" w:ascii="楷体" w:hAnsi="楷体" w:eastAsia="楷体" w:cs="楷体"/>
                <w:sz w:val="18"/>
                <w:szCs w:val="18"/>
              </w:rPr>
              <w:t>抽合同，均保存完好，符合要求。</w:t>
            </w:r>
          </w:p>
          <w:p>
            <w:pPr>
              <w:rPr>
                <w:rFonts w:hint="eastAsia" w:ascii="楷体" w:hAnsi="楷体" w:eastAsia="楷体" w:cs="楷体"/>
                <w:sz w:val="18"/>
                <w:szCs w:val="18"/>
              </w:rPr>
            </w:pPr>
            <w:r>
              <w:rPr>
                <w:rFonts w:hint="eastAsia" w:ascii="楷体" w:hAnsi="楷体" w:eastAsia="楷体" w:cs="楷体"/>
                <w:sz w:val="18"/>
                <w:szCs w:val="18"/>
              </w:rPr>
              <w:t>抽发货清单、东风收货后有验收入库单，均保存完好，符合要求。</w:t>
            </w:r>
          </w:p>
          <w:p>
            <w:pPr>
              <w:rPr>
                <w:rFonts w:hint="eastAsia" w:ascii="楷体" w:hAnsi="楷体" w:eastAsia="楷体" w:cs="楷体"/>
                <w:sz w:val="18"/>
                <w:szCs w:val="18"/>
              </w:rPr>
            </w:pPr>
            <w:r>
              <w:rPr>
                <w:rFonts w:hint="eastAsia" w:ascii="楷体" w:hAnsi="楷体" w:eastAsia="楷体" w:cs="楷体"/>
                <w:sz w:val="18"/>
                <w:szCs w:val="18"/>
              </w:rPr>
              <w:t>4、现场查看产品销售情况：现场清洁卫生，配备有消防设施；现场有台式电脑、笔记本、传真机等日常办公设备，设备运行良好；现场有工作人员正利用电话、网络与客户交流，服务规范。</w:t>
            </w:r>
          </w:p>
          <w:p>
            <w:pPr>
              <w:rPr>
                <w:rFonts w:hint="eastAsia" w:ascii="楷体" w:hAnsi="楷体" w:eastAsia="楷体" w:cs="楷体"/>
                <w:sz w:val="18"/>
                <w:szCs w:val="18"/>
              </w:rPr>
            </w:pPr>
            <w:r>
              <w:rPr>
                <w:rFonts w:hint="eastAsia" w:ascii="楷体" w:hAnsi="楷体" w:eastAsia="楷体" w:cs="楷体"/>
                <w:sz w:val="18"/>
                <w:szCs w:val="18"/>
              </w:rPr>
              <w:t>5、销售人员均为培训合格并有多年工作经验的人员，符合要求。</w:t>
            </w:r>
          </w:p>
          <w:p>
            <w:pPr>
              <w:rPr>
                <w:rFonts w:hint="eastAsia" w:ascii="楷体" w:hAnsi="楷体" w:eastAsia="楷体" w:cs="楷体"/>
                <w:sz w:val="18"/>
                <w:szCs w:val="18"/>
              </w:rPr>
            </w:pPr>
            <w:r>
              <w:rPr>
                <w:rFonts w:hint="eastAsia" w:ascii="楷体" w:hAnsi="楷体" w:eastAsia="楷体" w:cs="楷体"/>
                <w:sz w:val="18"/>
                <w:szCs w:val="18"/>
              </w:rPr>
              <w:t>6、识别了需要确认的过程为销售服务，提供《特殊过程确认表》，符合要求。</w:t>
            </w:r>
          </w:p>
          <w:p>
            <w:pPr>
              <w:rPr>
                <w:rFonts w:hint="eastAsia" w:ascii="楷体" w:hAnsi="楷体" w:eastAsia="楷体" w:cs="楷体"/>
                <w:sz w:val="18"/>
                <w:szCs w:val="18"/>
              </w:rPr>
            </w:pPr>
            <w:r>
              <w:rPr>
                <w:rFonts w:hint="eastAsia" w:ascii="楷体" w:hAnsi="楷体" w:eastAsia="楷体" w:cs="楷体"/>
                <w:sz w:val="18"/>
                <w:szCs w:val="18"/>
              </w:rPr>
              <w:t>7、产品需经检验合格后方可交付给客户，产品交付后，严格遵守销售合同中的各项承诺，尽量避免客户的抱怨和投诉。</w:t>
            </w:r>
          </w:p>
          <w:p>
            <w:pPr>
              <w:rPr>
                <w:rFonts w:hint="eastAsia" w:ascii="楷体" w:hAnsi="楷体" w:eastAsia="楷体" w:cs="楷体"/>
                <w:sz w:val="18"/>
                <w:szCs w:val="18"/>
              </w:rPr>
            </w:pPr>
            <w:r>
              <w:rPr>
                <w:rFonts w:hint="eastAsia" w:ascii="楷体" w:hAnsi="楷体" w:eastAsia="楷体" w:cs="楷体"/>
                <w:sz w:val="18"/>
                <w:szCs w:val="18"/>
              </w:rPr>
              <w:t>8、现场观察到办公场所环境良好，文件资料及时进行整理，并存放指定地点，工作人员具有工作状态良好，销售人员和客户沟通用语规范，工作氛围总体良好。</w:t>
            </w:r>
          </w:p>
          <w:p>
            <w:pPr>
              <w:rPr>
                <w:rFonts w:hint="eastAsia" w:ascii="楷体" w:hAnsi="楷体" w:eastAsia="楷体" w:cs="楷体"/>
                <w:sz w:val="18"/>
                <w:szCs w:val="18"/>
              </w:rPr>
            </w:pPr>
            <w:r>
              <w:rPr>
                <w:rFonts w:hint="eastAsia" w:ascii="楷体" w:hAnsi="楷体" w:eastAsia="楷体" w:cs="楷体"/>
                <w:sz w:val="18"/>
                <w:szCs w:val="18"/>
              </w:rPr>
              <w:t>9、自体系建立以来无合同更改情况</w:t>
            </w:r>
          </w:p>
          <w:p>
            <w:pPr>
              <w:pStyle w:val="15"/>
              <w:rPr>
                <w:rFonts w:hint="eastAsia" w:ascii="楷体" w:hAnsi="楷体" w:eastAsia="楷体" w:cs="楷体"/>
                <w:sz w:val="18"/>
                <w:szCs w:val="18"/>
              </w:rPr>
            </w:pPr>
            <w:r>
              <w:rPr>
                <w:rFonts w:hint="eastAsia" w:ascii="楷体" w:hAnsi="楷体" w:eastAsia="楷体" w:cs="楷体"/>
                <w:sz w:val="18"/>
                <w:szCs w:val="18"/>
              </w:rPr>
              <w:t>现场销售人员称每次发货前要同客户说明发货产品，发货数量、到货日期，防止货物发送错误</w:t>
            </w:r>
          </w:p>
          <w:p>
            <w:pPr>
              <w:pStyle w:val="15"/>
              <w:rPr>
                <w:rFonts w:hint="eastAsia" w:ascii="楷体" w:hAnsi="楷体" w:eastAsia="楷体" w:cs="楷体"/>
                <w:sz w:val="18"/>
                <w:szCs w:val="18"/>
              </w:rPr>
            </w:pPr>
          </w:p>
          <w:p>
            <w:pPr>
              <w:spacing w:line="240" w:lineRule="exact"/>
              <w:ind w:left="167" w:hanging="167" w:hangingChars="79"/>
              <w:rPr>
                <w:rFonts w:hint="eastAsia" w:ascii="楷体" w:hAnsi="楷体" w:eastAsia="楷体" w:cs="楷体"/>
                <w:b/>
                <w:color w:val="000000" w:themeColor="text1"/>
                <w:sz w:val="21"/>
                <w:szCs w:val="21"/>
              </w:rPr>
            </w:pPr>
            <w:r>
              <w:rPr>
                <w:rFonts w:hint="eastAsia" w:ascii="楷体" w:hAnsi="楷体" w:eastAsia="楷体" w:cs="楷体"/>
                <w:b/>
                <w:color w:val="000000" w:themeColor="text1"/>
                <w:sz w:val="21"/>
                <w:szCs w:val="21"/>
              </w:rPr>
              <w:t>生产及服务过程控制（生产）</w:t>
            </w:r>
          </w:p>
          <w:p>
            <w:pPr>
              <w:spacing w:line="240" w:lineRule="exact"/>
              <w:ind w:left="142" w:hanging="142" w:hangingChars="79"/>
              <w:jc w:val="left"/>
              <w:rPr>
                <w:rFonts w:hint="eastAsia" w:ascii="楷体" w:hAnsi="楷体" w:eastAsia="楷体" w:cs="楷体"/>
                <w:color w:val="000000" w:themeColor="text1"/>
                <w:sz w:val="18"/>
                <w:szCs w:val="18"/>
              </w:rPr>
            </w:pPr>
            <w:r>
              <w:rPr>
                <w:rFonts w:hint="eastAsia" w:ascii="楷体" w:hAnsi="楷体" w:eastAsia="楷体" w:cs="楷体"/>
                <w:color w:val="000000" w:themeColor="text1"/>
                <w:sz w:val="18"/>
                <w:szCs w:val="18"/>
              </w:rPr>
              <w:t>企业根据客户图纸/生产计划进行生产</w:t>
            </w:r>
          </w:p>
          <w:p>
            <w:pPr>
              <w:pStyle w:val="15"/>
              <w:jc w:val="left"/>
              <w:rPr>
                <w:rFonts w:hint="eastAsia" w:ascii="楷体" w:hAnsi="楷体" w:eastAsia="楷体" w:cs="楷体"/>
                <w:color w:val="000000" w:themeColor="text1"/>
                <w:sz w:val="18"/>
                <w:szCs w:val="18"/>
              </w:rPr>
            </w:pPr>
            <w:r>
              <w:rPr>
                <w:rFonts w:hint="eastAsia" w:ascii="楷体" w:hAnsi="楷体" w:eastAsia="楷体" w:cs="楷体"/>
                <w:color w:val="000000" w:themeColor="text1"/>
                <w:sz w:val="18"/>
                <w:szCs w:val="18"/>
              </w:rPr>
              <w:t>抽：生产计划，符合要求</w:t>
            </w:r>
          </w:p>
          <w:p>
            <w:pPr>
              <w:pStyle w:val="15"/>
              <w:jc w:val="left"/>
              <w:rPr>
                <w:rFonts w:hint="eastAsia" w:ascii="楷体" w:hAnsi="楷体" w:eastAsia="楷体" w:cs="楷体"/>
                <w:color w:val="000000" w:themeColor="text1"/>
                <w:sz w:val="18"/>
                <w:szCs w:val="18"/>
              </w:rPr>
            </w:pPr>
            <w:r>
              <w:rPr>
                <w:rFonts w:hint="eastAsia" w:ascii="楷体" w:hAnsi="楷体" w:eastAsia="楷体" w:cs="楷体"/>
                <w:color w:val="000000" w:themeColor="text1"/>
                <w:sz w:val="18"/>
                <w:szCs w:val="18"/>
              </w:rPr>
              <w:t>策划了生产流程，符合要求</w:t>
            </w:r>
          </w:p>
          <w:p>
            <w:pPr>
              <w:pStyle w:val="15"/>
              <w:jc w:val="left"/>
              <w:rPr>
                <w:rFonts w:hint="eastAsia" w:ascii="楷体" w:hAnsi="楷体" w:eastAsia="楷体" w:cs="楷体"/>
                <w:color w:val="000000" w:themeColor="text1"/>
                <w:sz w:val="18"/>
                <w:szCs w:val="18"/>
              </w:rPr>
            </w:pPr>
            <w:r>
              <w:rPr>
                <w:rFonts w:hint="eastAsia" w:ascii="楷体" w:hAnsi="楷体" w:eastAsia="楷体" w:cs="楷体"/>
                <w:color w:val="000000" w:themeColor="text1"/>
                <w:sz w:val="18"/>
                <w:szCs w:val="18"/>
              </w:rPr>
              <w:t>执行标准：东方（十堰）底盘部件有限公司标准：EQL-27、EQY-273-2002、EQY-273-2002、DFLCB-1009-2006金属冲压制件的普通尺寸公差、客户图纸等</w:t>
            </w:r>
          </w:p>
          <w:p>
            <w:pPr>
              <w:pStyle w:val="15"/>
              <w:jc w:val="left"/>
              <w:rPr>
                <w:rFonts w:hint="eastAsia" w:ascii="楷体" w:hAnsi="楷体" w:eastAsia="楷体" w:cs="楷体"/>
                <w:color w:val="000000" w:themeColor="text1"/>
                <w:sz w:val="18"/>
                <w:szCs w:val="18"/>
              </w:rPr>
            </w:pPr>
            <w:r>
              <w:rPr>
                <w:rFonts w:hint="eastAsia" w:ascii="楷体" w:hAnsi="楷体" w:eastAsia="楷体" w:cs="楷体"/>
                <w:color w:val="000000" w:themeColor="text1"/>
                <w:sz w:val="18"/>
                <w:szCs w:val="18"/>
              </w:rPr>
              <w:t>以上信息能够指导生产</w:t>
            </w:r>
          </w:p>
          <w:p>
            <w:pPr>
              <w:pStyle w:val="15"/>
              <w:jc w:val="left"/>
              <w:rPr>
                <w:rFonts w:hint="eastAsia" w:ascii="楷体" w:hAnsi="楷体" w:eastAsia="楷体" w:cs="楷体"/>
                <w:color w:val="000000" w:themeColor="text1"/>
                <w:sz w:val="18"/>
                <w:szCs w:val="18"/>
              </w:rPr>
            </w:pPr>
            <w:r>
              <w:rPr>
                <w:rFonts w:hint="eastAsia" w:ascii="楷体" w:hAnsi="楷体" w:eastAsia="楷体" w:cs="楷体"/>
                <w:color w:val="000000" w:themeColor="text1"/>
                <w:sz w:val="18"/>
                <w:szCs w:val="18"/>
              </w:rPr>
              <w:t>可获得和使用适宜的监视和测量资源：游标卡尺、高度尺等。监视和测量设备满足检验需要</w:t>
            </w:r>
          </w:p>
          <w:p>
            <w:pPr>
              <w:pStyle w:val="15"/>
              <w:jc w:val="left"/>
              <w:rPr>
                <w:rFonts w:hint="eastAsia" w:ascii="楷体" w:hAnsi="楷体" w:eastAsia="楷体" w:cs="楷体"/>
                <w:color w:val="000000" w:themeColor="text1"/>
                <w:sz w:val="18"/>
                <w:szCs w:val="18"/>
              </w:rPr>
            </w:pPr>
            <w:r>
              <w:rPr>
                <w:rFonts w:hint="eastAsia" w:ascii="楷体" w:hAnsi="楷体" w:eastAsia="楷体" w:cs="楷体"/>
                <w:color w:val="000000" w:themeColor="text1"/>
                <w:sz w:val="18"/>
                <w:szCs w:val="18"/>
              </w:rPr>
              <w:t>在适当阶段实施监视和测量活动，以验证是否符合过程或输出的控制准则以及产品和服务的接收准则：图纸、检验标准、冲床安全操作规程、激光切割机保养规范、设备维保制度等作业指导文件实施过程控制。产品通过检验等来对产品实现过程进行控制。生产过程中由专人进行检查，完成后由客户进行验收，符合要求。</w:t>
            </w:r>
          </w:p>
          <w:p>
            <w:pPr>
              <w:pStyle w:val="15"/>
              <w:jc w:val="left"/>
              <w:rPr>
                <w:rFonts w:hint="eastAsia" w:ascii="楷体" w:hAnsi="楷体" w:eastAsia="楷体" w:cs="楷体"/>
                <w:color w:val="000000" w:themeColor="text1"/>
                <w:sz w:val="18"/>
                <w:szCs w:val="18"/>
              </w:rPr>
            </w:pPr>
            <w:r>
              <w:rPr>
                <w:rFonts w:hint="eastAsia" w:ascii="楷体" w:hAnsi="楷体" w:eastAsia="楷体" w:cs="楷体"/>
                <w:color w:val="000000" w:themeColor="text1"/>
                <w:sz w:val="18"/>
                <w:szCs w:val="18"/>
              </w:rPr>
              <w:t>为过程的运行使用适宜的基础设施，并保持适宜的环境：配备了冲床、万能液压机、剪板机、摇臂钻床、激光切割机、起重机等生产设备，人员经过培训上岗等。基本满足工作需要。资源基本满足。</w:t>
            </w:r>
          </w:p>
          <w:p>
            <w:pPr>
              <w:pStyle w:val="15"/>
              <w:jc w:val="left"/>
              <w:rPr>
                <w:rFonts w:hint="eastAsia" w:ascii="楷体" w:hAnsi="楷体" w:eastAsia="楷体" w:cs="楷体"/>
                <w:color w:val="000000" w:themeColor="text1"/>
                <w:sz w:val="18"/>
                <w:szCs w:val="18"/>
              </w:rPr>
            </w:pPr>
            <w:r>
              <w:rPr>
                <w:rFonts w:hint="eastAsia" w:ascii="楷体" w:hAnsi="楷体" w:eastAsia="楷体" w:cs="楷体"/>
                <w:color w:val="000000" w:themeColor="text1"/>
                <w:sz w:val="18"/>
                <w:szCs w:val="18"/>
              </w:rPr>
              <w:t>生产环境为防潮，无其他特殊要求。办公区内有消防器材，有效期内。</w:t>
            </w:r>
          </w:p>
          <w:p>
            <w:pPr>
              <w:pStyle w:val="15"/>
              <w:jc w:val="left"/>
              <w:rPr>
                <w:rFonts w:hint="eastAsia" w:ascii="楷体" w:hAnsi="楷体" w:eastAsia="楷体" w:cs="楷体"/>
                <w:color w:val="000000" w:themeColor="text1"/>
                <w:sz w:val="18"/>
                <w:szCs w:val="18"/>
              </w:rPr>
            </w:pPr>
            <w:r>
              <w:rPr>
                <w:rFonts w:hint="eastAsia" w:ascii="楷体" w:hAnsi="楷体" w:eastAsia="楷体" w:cs="楷体"/>
                <w:color w:val="000000" w:themeColor="text1"/>
                <w:sz w:val="18"/>
                <w:szCs w:val="18"/>
              </w:rPr>
              <w:t>配备胜任的人员，包括所需求的资格：初中以上学历；视力良好；有一定工作经验、经过培训、考核合格后上岗。</w:t>
            </w:r>
          </w:p>
          <w:p>
            <w:pPr>
              <w:pStyle w:val="15"/>
              <w:jc w:val="left"/>
              <w:rPr>
                <w:rFonts w:hint="eastAsia" w:ascii="楷体" w:hAnsi="楷体" w:eastAsia="楷体" w:cs="楷体"/>
                <w:color w:val="000000" w:themeColor="text1"/>
                <w:sz w:val="18"/>
                <w:szCs w:val="18"/>
              </w:rPr>
            </w:pPr>
            <w:r>
              <w:rPr>
                <w:rFonts w:hint="eastAsia" w:ascii="楷体" w:hAnsi="楷体" w:eastAsia="楷体" w:cs="楷体"/>
                <w:color w:val="000000" w:themeColor="text1"/>
                <w:sz w:val="18"/>
                <w:szCs w:val="18"/>
              </w:rPr>
              <w:t>若输出结果不能由后续的监视或测量加以验证，应对生产和服务提供过程实现策划结果的能力进行确认，并定期再确认：经确认，生产过程中无需要确认的过程。人员均经培训后上岗，符合要求。</w:t>
            </w:r>
          </w:p>
          <w:p>
            <w:pPr>
              <w:pStyle w:val="15"/>
              <w:jc w:val="left"/>
              <w:rPr>
                <w:rFonts w:hint="eastAsia" w:ascii="楷体" w:hAnsi="楷体" w:eastAsia="楷体" w:cs="楷体"/>
                <w:color w:val="000000" w:themeColor="text1"/>
                <w:sz w:val="18"/>
                <w:szCs w:val="18"/>
              </w:rPr>
            </w:pPr>
            <w:r>
              <w:rPr>
                <w:rFonts w:hint="eastAsia" w:ascii="楷体" w:hAnsi="楷体" w:eastAsia="楷体" w:cs="楷体"/>
                <w:color w:val="000000" w:themeColor="text1"/>
                <w:sz w:val="18"/>
                <w:szCs w:val="18"/>
              </w:rPr>
              <w:t>采取措施防止人为错误：各工序制定有操作规程、图纸、检验标准，明确了操作要求，各工序互检，避免人为失误</w:t>
            </w:r>
          </w:p>
          <w:p>
            <w:pPr>
              <w:pStyle w:val="15"/>
              <w:jc w:val="left"/>
              <w:rPr>
                <w:rFonts w:hint="eastAsia" w:ascii="楷体" w:hAnsi="楷体" w:eastAsia="楷体" w:cs="楷体"/>
                <w:color w:val="000000" w:themeColor="text1"/>
                <w:sz w:val="18"/>
                <w:szCs w:val="18"/>
              </w:rPr>
            </w:pPr>
            <w:r>
              <w:rPr>
                <w:rFonts w:hint="eastAsia" w:ascii="楷体" w:hAnsi="楷体" w:eastAsia="楷体" w:cs="楷体"/>
                <w:color w:val="000000" w:themeColor="text1"/>
                <w:sz w:val="18"/>
                <w:szCs w:val="18"/>
              </w:rPr>
              <w:t>实施放行、交付和交付后的活动：按照各图纸要求实施过程控制，以确保有效实施放行、交付和交付后活动。</w:t>
            </w:r>
          </w:p>
          <w:p>
            <w:pPr>
              <w:pStyle w:val="15"/>
              <w:jc w:val="left"/>
              <w:rPr>
                <w:rFonts w:hint="eastAsia" w:ascii="楷体" w:hAnsi="楷体" w:eastAsia="楷体" w:cs="楷体"/>
                <w:bCs/>
                <w:spacing w:val="10"/>
                <w:kern w:val="2"/>
                <w:sz w:val="18"/>
                <w:szCs w:val="18"/>
                <w:lang w:val="en-US" w:eastAsia="zh-CN" w:bidi="ar-SA"/>
              </w:rPr>
            </w:pPr>
            <w:r>
              <w:rPr>
                <w:rFonts w:hint="eastAsia" w:ascii="楷体" w:hAnsi="楷体" w:eastAsia="楷体" w:cs="楷体"/>
                <w:color w:val="000000" w:themeColor="text1"/>
                <w:sz w:val="18"/>
                <w:szCs w:val="18"/>
              </w:rPr>
              <w:t>现场巡视生产现场：生产现场干净整洁、设备运转正常。人员配备符合要求。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90" w:hanging="167" w:hangingChars="79"/>
              <w:rPr>
                <w:rFonts w:hint="eastAsia" w:ascii="楷体" w:hAnsi="楷体" w:eastAsia="楷体" w:cs="楷体"/>
                <w:b/>
                <w:color w:val="000000" w:themeColor="text1"/>
                <w:sz w:val="21"/>
                <w:szCs w:val="21"/>
              </w:rPr>
            </w:pPr>
            <w:r>
              <w:rPr>
                <w:rFonts w:hint="eastAsia" w:ascii="楷体" w:hAnsi="楷体" w:eastAsia="楷体" w:cs="楷体"/>
                <w:b/>
                <w:color w:val="000000" w:themeColor="text1"/>
                <w:sz w:val="21"/>
                <w:szCs w:val="21"/>
              </w:rPr>
              <w:t>放行控制</w:t>
            </w:r>
          </w:p>
          <w:p>
            <w:pPr>
              <w:spacing w:line="240" w:lineRule="exact"/>
              <w:ind w:left="142" w:hanging="165" w:hangingChars="79"/>
              <w:jc w:val="left"/>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销售过程放行：公司通过员工服务质量考核等形式对销售服务过程进行监视和测量。抽1-12月销售部检查记录、1</w:t>
            </w:r>
          </w:p>
          <w:p>
            <w:pPr>
              <w:spacing w:line="240" w:lineRule="exact"/>
              <w:ind w:left="142" w:hanging="165" w:hangingChars="79"/>
              <w:jc w:val="left"/>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-12月销售服务检查记录、顾客满意度调查表、东风收货后有验收单，服务的放行受控。符合要求。</w:t>
            </w:r>
          </w:p>
          <w:p>
            <w:pPr>
              <w:spacing w:line="240" w:lineRule="exact"/>
              <w:ind w:left="142" w:hanging="165" w:hangingChars="79"/>
              <w:jc w:val="left"/>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生产放行：原材料记录，符合要求。钢材每批次均有材质单，抽材质单，符合要求。</w:t>
            </w:r>
          </w:p>
          <w:p>
            <w:pPr>
              <w:spacing w:line="240" w:lineRule="exact"/>
              <w:ind w:left="142" w:hanging="165" w:hangingChars="79"/>
              <w:jc w:val="left"/>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生产过程及成品检验：企业负责人介绍说：产品检验、检验单按“东风”要求进行。</w:t>
            </w:r>
          </w:p>
          <w:p>
            <w:pPr>
              <w:pStyle w:val="15"/>
              <w:jc w:val="left"/>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产品放行受控。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spacing w:line="240" w:lineRule="exact"/>
              <w:rPr>
                <w:rFonts w:ascii="宋体" w:hAnsi="宋体"/>
                <w:b/>
                <w:sz w:val="21"/>
                <w:szCs w:val="21"/>
              </w:rPr>
            </w:pPr>
            <w:r>
              <w:rPr>
                <w:sz w:val="18"/>
                <w:szCs w:val="18"/>
              </w:rPr>
              <w:t>本次监督审核不涉及此条款</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查有《不合格输出控制程序》，对不合格输出进行识别和控制，防止不合格输出的非预期使用或交付。</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询问部门负责人称目前没有不合格的非预期使用情况。未发生投诉所引起的不合格。</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查《不合格处理记录》，符合要求</w:t>
            </w:r>
          </w:p>
          <w:p>
            <w:pPr>
              <w:spacing w:line="240" w:lineRule="exact"/>
              <w:rPr>
                <w:rFonts w:ascii="宋体" w:hAnsi="宋体"/>
                <w:b/>
                <w:sz w:val="21"/>
                <w:szCs w:val="21"/>
              </w:rPr>
            </w:pPr>
            <w:r>
              <w:rPr>
                <w:rFonts w:hint="eastAsia" w:ascii="楷体" w:hAnsi="楷体" w:eastAsia="楷体" w:cs="楷体"/>
                <w:bCs/>
                <w:color w:val="000000" w:themeColor="text1"/>
                <w:sz w:val="21"/>
                <w:szCs w:val="21"/>
              </w:rPr>
              <w:t>针对内审中发现的不合格，采取了纠正措施，并进行验证合格。询问部门负责人称服务过程中未发现严重不合格或同类不合格屡次发生情况，因此未采取纠正措施。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eastAsia" w:ascii="宋体" w:hAnsi="宋体" w:eastAsia="宋体"/>
                <w:b/>
                <w:sz w:val="21"/>
                <w:szCs w:val="21"/>
                <w:lang w:val="en-US" w:eastAsia="zh-CN"/>
              </w:rPr>
            </w:pPr>
            <w:r>
              <w:rPr>
                <w:rFonts w:hint="eastAsia" w:ascii="宋体" w:hAnsi="宋体"/>
                <w:b/>
                <w:sz w:val="21"/>
                <w:szCs w:val="21"/>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pPr>
            <w:r>
              <w:t>11 .</w:t>
            </w:r>
            <w:r>
              <w:rPr>
                <w:rFonts w:hint="eastAsia"/>
              </w:rPr>
              <w:t>对危险化学品销售、使用、储存、运输处置，规定的执行力度</w:t>
            </w:r>
            <w:r>
              <w:t>(</w:t>
            </w:r>
            <w:r>
              <w:rPr>
                <w:rFonts w:hint="eastAsia"/>
              </w:rPr>
              <w:t>必要时</w:t>
            </w:r>
            <w:r>
              <w:t>);</w:t>
            </w:r>
          </w:p>
          <w:p>
            <w:pPr>
              <w:pStyle w:val="2"/>
              <w:rPr>
                <w:rFonts w:hint="eastAsia" w:eastAsia="宋体"/>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pStyle w:val="15"/>
              <w:rPr>
                <w:rFonts w:ascii="宋体" w:hAnsi="宋体"/>
                <w:b/>
                <w:sz w:val="21"/>
                <w:szCs w:val="21"/>
              </w:rPr>
            </w:pPr>
            <w:r>
              <w:rPr>
                <w:rFonts w:hint="eastAsia" w:ascii="宋体" w:hAnsi="宋体"/>
                <w:color w:val="000000" w:themeColor="text1"/>
                <w:sz w:val="18"/>
                <w:szCs w:val="18"/>
              </w:rPr>
              <w:t>1</w:t>
            </w:r>
            <w:r>
              <w:rPr>
                <w:rFonts w:hint="eastAsia" w:ascii="宋体" w:hAnsi="宋体"/>
                <w:color w:val="000000" w:themeColor="text1"/>
                <w:spacing w:val="0"/>
                <w:sz w:val="18"/>
                <w:szCs w:val="18"/>
              </w:rPr>
              <w:t>对质量目标指标进行了考核，各部门能可以完成质量目标要求。目标具备可测量性</w:t>
            </w:r>
            <w:r>
              <w:rPr>
                <w:rFonts w:hint="eastAsia" w:ascii="宋体" w:hAnsi="宋体"/>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numPr>
                <w:ilvl w:val="0"/>
                <w:numId w:val="6"/>
              </w:numPr>
              <w:spacing w:line="240" w:lineRule="exact"/>
              <w:ind w:left="105" w:hanging="105" w:hangingChars="50"/>
              <w:rPr>
                <w:rFonts w:ascii="宋体" w:hAnsi="宋体"/>
                <w:b/>
                <w:sz w:val="21"/>
                <w:szCs w:val="21"/>
              </w:rPr>
            </w:pPr>
            <w:r>
              <w:rPr>
                <w:rFonts w:hint="eastAsia" w:ascii="宋体" w:hAnsi="宋体"/>
                <w:b/>
                <w:sz w:val="21"/>
                <w:szCs w:val="21"/>
              </w:rPr>
              <w:t>顾客满意</w:t>
            </w:r>
          </w:p>
          <w:p>
            <w:pPr>
              <w:tabs>
                <w:tab w:val="left" w:pos="963"/>
              </w:tabs>
              <w:spacing w:line="240" w:lineRule="exact"/>
              <w:ind w:firstLine="420" w:firstLineChars="200"/>
              <w:rPr>
                <w:rFonts w:ascii="宋体" w:hAnsi="宋体"/>
                <w:b/>
                <w:sz w:val="21"/>
                <w:szCs w:val="21"/>
              </w:rPr>
            </w:pPr>
            <w:r>
              <w:rPr>
                <w:rFonts w:hint="eastAsia" w:ascii="楷体" w:hAnsi="楷体" w:eastAsia="楷体" w:cs="楷体"/>
                <w:bCs/>
                <w:color w:val="000000" w:themeColor="text1"/>
                <w:sz w:val="21"/>
                <w:szCs w:val="21"/>
              </w:rPr>
              <w:t>企业对顾客对产品是否满意的信息进行监视，并编制《顾客满意情况调查表》。对调查表中各项目进行测算，公司于2020年对主要客户进行了电话问卷调查，分别对质量（尺寸、外观、包装质量、产品性能）、交货方面（交货准时性、沟通及服务态度、退补货及时性、送货员服务态度）、其他方面（沟通及服务态度、问题处理及时性）等内容进行调查，客户均对相关内容进行了反馈，从统计数据中可以看出，顾客满意度平均分为100%，超过了质量目标要求，目标完成。从各分项看，客户基本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rPr>
                <w:rFonts w:hint="eastAsia" w:ascii="楷体" w:hAnsi="楷体" w:eastAsia="楷体" w:cs="楷体"/>
                <w:bCs/>
                <w:sz w:val="21"/>
                <w:szCs w:val="21"/>
              </w:rPr>
            </w:pPr>
            <w:r>
              <w:rPr>
                <w:rFonts w:hint="eastAsia" w:ascii="楷体" w:hAnsi="楷体" w:eastAsia="楷体" w:cs="楷体"/>
                <w:bCs/>
                <w:sz w:val="21"/>
                <w:szCs w:val="21"/>
              </w:rPr>
              <w:t>公司制定了《内部审核控制程序》，文件规定每年至少进行一次内部审核，间隔时间不超过12个月。规定了审核的策划、实施、形成记录以及报告结果的要求。</w:t>
            </w:r>
          </w:p>
          <w:p>
            <w:pPr>
              <w:rPr>
                <w:rFonts w:hint="eastAsia" w:ascii="楷体" w:hAnsi="楷体" w:eastAsia="楷体" w:cs="楷体"/>
                <w:bCs/>
                <w:sz w:val="21"/>
                <w:szCs w:val="21"/>
              </w:rPr>
            </w:pPr>
            <w:r>
              <w:rPr>
                <w:rFonts w:hint="eastAsia" w:ascii="楷体" w:hAnsi="楷体" w:eastAsia="楷体" w:cs="楷体"/>
                <w:bCs/>
                <w:sz w:val="21"/>
                <w:szCs w:val="21"/>
              </w:rPr>
              <w:t>提供了《审核实施计划》，策划了审核目的、依据、审核内容、审核要求、审核组成员等内容。</w:t>
            </w:r>
          </w:p>
          <w:p>
            <w:pPr>
              <w:rPr>
                <w:rFonts w:hint="eastAsia" w:ascii="楷体" w:hAnsi="楷体" w:eastAsia="楷体" w:cs="楷体"/>
                <w:bCs/>
                <w:sz w:val="21"/>
                <w:szCs w:val="21"/>
              </w:rPr>
            </w:pPr>
            <w:r>
              <w:rPr>
                <w:rFonts w:hint="eastAsia" w:ascii="楷体" w:hAnsi="楷体" w:eastAsia="楷体" w:cs="楷体"/>
                <w:bCs/>
                <w:sz w:val="21"/>
                <w:szCs w:val="21"/>
              </w:rPr>
              <w:t>内审时间：2020年10月15日。</w:t>
            </w:r>
          </w:p>
          <w:p>
            <w:pPr>
              <w:rPr>
                <w:rFonts w:hint="eastAsia" w:ascii="楷体" w:hAnsi="楷体" w:eastAsia="楷体" w:cs="楷体"/>
                <w:bCs/>
                <w:sz w:val="21"/>
                <w:szCs w:val="21"/>
              </w:rPr>
            </w:pPr>
            <w:r>
              <w:rPr>
                <w:rFonts w:hint="eastAsia" w:ascii="楷体" w:hAnsi="楷体" w:eastAsia="楷体" w:cs="楷体"/>
                <w:bCs/>
                <w:sz w:val="21"/>
                <w:szCs w:val="21"/>
              </w:rPr>
              <w:t>依据GB/T19001-2016版标准，质量管理手册和体系其他文件。计划由总经理批准后实施。</w:t>
            </w:r>
          </w:p>
          <w:p>
            <w:pPr>
              <w:rPr>
                <w:rFonts w:hint="eastAsia" w:ascii="楷体" w:hAnsi="楷体" w:eastAsia="楷体" w:cs="楷体"/>
                <w:bCs/>
                <w:sz w:val="21"/>
                <w:szCs w:val="21"/>
              </w:rPr>
            </w:pPr>
            <w:r>
              <w:rPr>
                <w:rFonts w:hint="eastAsia" w:ascii="楷体" w:hAnsi="楷体" w:eastAsia="楷体" w:cs="楷体"/>
                <w:bCs/>
                <w:sz w:val="21"/>
                <w:szCs w:val="21"/>
              </w:rPr>
              <w:t xml:space="preserve">公司按计划实施了内审。提供了内审员任命书，写明了内审员任职要求及审核要求。内审员的安排考虑了审核过程的客观性和公正性，没有发现自己审核本部门的情况。  </w:t>
            </w:r>
          </w:p>
          <w:p>
            <w:pPr>
              <w:rPr>
                <w:rFonts w:hint="eastAsia" w:ascii="楷体" w:hAnsi="楷体" w:eastAsia="楷体" w:cs="楷体"/>
                <w:bCs/>
                <w:sz w:val="21"/>
                <w:szCs w:val="21"/>
              </w:rPr>
            </w:pPr>
            <w:r>
              <w:rPr>
                <w:rFonts w:hint="eastAsia" w:ascii="楷体" w:hAnsi="楷体" w:eastAsia="楷体" w:cs="楷体"/>
                <w:bCs/>
                <w:sz w:val="21"/>
                <w:szCs w:val="21"/>
              </w:rPr>
              <w:t>提供了内审检查表。内审不符合1项，已整改验收合格。</w:t>
            </w:r>
          </w:p>
          <w:p>
            <w:pPr>
              <w:spacing w:line="240" w:lineRule="exact"/>
              <w:rPr>
                <w:rFonts w:ascii="宋体" w:hAnsi="宋体"/>
                <w:b/>
                <w:sz w:val="21"/>
                <w:szCs w:val="21"/>
              </w:rPr>
            </w:pPr>
            <w:r>
              <w:rPr>
                <w:rFonts w:hint="eastAsia" w:ascii="楷体" w:hAnsi="楷体" w:eastAsia="楷体" w:cs="楷体"/>
                <w:bCs/>
                <w:sz w:val="21"/>
                <w:szCs w:val="21"/>
              </w:rPr>
              <w:t>内审报告显示本公司的质量体系均运行良好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rFonts w:hint="eastAsia" w:ascii="楷体" w:hAnsi="楷体" w:eastAsia="楷体" w:cs="楷体"/>
                <w:bCs/>
                <w:sz w:val="21"/>
                <w:szCs w:val="21"/>
              </w:rPr>
            </w:pPr>
            <w:r>
              <w:rPr>
                <w:rFonts w:hint="eastAsia" w:ascii="楷体" w:hAnsi="楷体" w:eastAsia="楷体" w:cs="楷体"/>
                <w:bCs/>
                <w:sz w:val="21"/>
                <w:szCs w:val="21"/>
              </w:rPr>
              <w:t>公司制定了编号：《管理评审控制程序》，文件规定每年至少进行一次管理评审。总经理于2020年10月24日组织进行了一次管理评审。</w:t>
            </w:r>
          </w:p>
          <w:p>
            <w:pPr>
              <w:spacing w:line="240" w:lineRule="exact"/>
              <w:rPr>
                <w:rFonts w:hint="eastAsia" w:ascii="楷体" w:hAnsi="楷体" w:eastAsia="楷体" w:cs="楷体"/>
                <w:bCs/>
                <w:sz w:val="21"/>
                <w:szCs w:val="21"/>
              </w:rPr>
            </w:pPr>
            <w:r>
              <w:rPr>
                <w:rFonts w:hint="eastAsia" w:ascii="楷体" w:hAnsi="楷体" w:eastAsia="楷体" w:cs="楷体"/>
                <w:bCs/>
                <w:sz w:val="21"/>
                <w:szCs w:val="21"/>
              </w:rPr>
              <w:t>查《管理评审计划》策划了管理评审目的、时间、参加人员、管理评审内容及资料等。总经理批准。</w:t>
            </w:r>
          </w:p>
          <w:p>
            <w:pPr>
              <w:spacing w:line="240" w:lineRule="exact"/>
              <w:rPr>
                <w:rFonts w:hint="eastAsia" w:ascii="楷体" w:hAnsi="楷体" w:eastAsia="楷体" w:cs="楷体"/>
                <w:bCs/>
                <w:sz w:val="21"/>
                <w:szCs w:val="21"/>
              </w:rPr>
            </w:pPr>
            <w:r>
              <w:rPr>
                <w:rFonts w:hint="eastAsia" w:ascii="楷体" w:hAnsi="楷体" w:eastAsia="楷体" w:cs="楷体"/>
                <w:bCs/>
                <w:sz w:val="21"/>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pPr>
              <w:spacing w:line="240" w:lineRule="exact"/>
              <w:rPr>
                <w:rFonts w:hint="eastAsia" w:ascii="楷体" w:hAnsi="楷体" w:eastAsia="楷体" w:cs="楷体"/>
                <w:bCs/>
                <w:sz w:val="21"/>
                <w:szCs w:val="21"/>
              </w:rPr>
            </w:pPr>
            <w:r>
              <w:rPr>
                <w:rFonts w:hint="eastAsia" w:ascii="楷体" w:hAnsi="楷体" w:eastAsia="楷体" w:cs="楷体"/>
                <w:bCs/>
                <w:sz w:val="21"/>
                <w:szCs w:val="21"/>
              </w:rPr>
              <w:t>提供《管理评审报告》，对评审情况进行了总结，各部门对各过程和活动进行了总结和讨论。</w:t>
            </w:r>
          </w:p>
          <w:p>
            <w:pPr>
              <w:spacing w:line="240" w:lineRule="exact"/>
              <w:rPr>
                <w:rFonts w:hint="eastAsia" w:ascii="楷体" w:hAnsi="楷体" w:eastAsia="楷体" w:cs="楷体"/>
                <w:bCs/>
                <w:sz w:val="21"/>
                <w:szCs w:val="21"/>
              </w:rPr>
            </w:pPr>
            <w:r>
              <w:rPr>
                <w:rFonts w:hint="eastAsia" w:ascii="楷体" w:hAnsi="楷体" w:eastAsia="楷体" w:cs="楷体"/>
                <w:bCs/>
                <w:sz w:val="21"/>
                <w:szCs w:val="21"/>
              </w:rPr>
              <w:t>评审结论：总的来说，本公司质量管理体系已建立并得到充分、有效、适宜的运行，全体员工必须以公司的质量管理方针 为宗旨，持续改善质量管理体系。</w:t>
            </w:r>
          </w:p>
          <w:p>
            <w:pPr>
              <w:spacing w:line="240" w:lineRule="exact"/>
              <w:rPr>
                <w:rFonts w:hint="eastAsia" w:ascii="楷体" w:hAnsi="楷体" w:eastAsia="楷体" w:cs="楷体"/>
                <w:bCs/>
                <w:sz w:val="21"/>
                <w:szCs w:val="21"/>
              </w:rPr>
            </w:pPr>
            <w:r>
              <w:rPr>
                <w:rFonts w:hint="eastAsia" w:ascii="楷体" w:hAnsi="楷体" w:eastAsia="楷体" w:cs="楷体"/>
                <w:bCs/>
                <w:sz w:val="21"/>
                <w:szCs w:val="21"/>
              </w:rPr>
              <w:t>改进措施：本年度未提出需改进措施</w:t>
            </w:r>
          </w:p>
          <w:p>
            <w:pPr>
              <w:spacing w:line="240" w:lineRule="exact"/>
              <w:rPr>
                <w:rFonts w:ascii="宋体" w:hAnsi="宋体"/>
                <w:b/>
                <w:sz w:val="21"/>
                <w:szCs w:val="21"/>
              </w:rPr>
            </w:pPr>
            <w:r>
              <w:rPr>
                <w:rFonts w:hint="eastAsia" w:ascii="楷体" w:hAnsi="楷体" w:eastAsia="楷体" w:cs="楷体"/>
                <w:bCs/>
                <w:sz w:val="21"/>
                <w:szCs w:val="21"/>
              </w:rPr>
              <w:t>抽上年度管理评审改进措施完成情况：已完成，有培训记录，符合要求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rPr>
                <w:rFonts w:hint="eastAsia" w:ascii="楷体" w:hAnsi="楷体" w:eastAsia="楷体" w:cs="楷体"/>
                <w:bCs/>
                <w:sz w:val="21"/>
                <w:szCs w:val="21"/>
              </w:rPr>
            </w:pPr>
            <w:r>
              <w:rPr>
                <w:rFonts w:hint="eastAsia" w:ascii="楷体" w:hAnsi="楷体" w:eastAsia="楷体" w:cs="楷体"/>
                <w:bCs/>
                <w:sz w:val="21"/>
                <w:szCs w:val="21"/>
              </w:rPr>
              <w:t>公司为不断改进体系、产品和服务创造氛围，使每个员工都有参与改进的意识和机会，通过使用质量方针、质量目标、审核结果、数据分析、纠正措施以及管理评审等提高QMS的有效性。</w:t>
            </w:r>
          </w:p>
          <w:p>
            <w:pPr>
              <w:spacing w:line="240" w:lineRule="exact"/>
              <w:rPr>
                <w:rFonts w:ascii="宋体" w:hAnsi="宋体"/>
                <w:b/>
                <w:sz w:val="21"/>
                <w:szCs w:val="21"/>
              </w:rPr>
            </w:pPr>
            <w:r>
              <w:rPr>
                <w:rFonts w:hint="eastAsia" w:ascii="楷体" w:hAnsi="楷体" w:eastAsia="楷体" w:cs="楷体"/>
                <w:bCs/>
                <w:sz w:val="21"/>
                <w:szCs w:val="21"/>
              </w:rPr>
              <w:t>管代：为了保证质量管理体系的符合性按照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numId w:val="0"/>
              </w:numPr>
              <w:spacing w:line="240" w:lineRule="exact"/>
              <w:ind w:leftChars="-50"/>
              <w:rPr>
                <w:rFonts w:hint="eastAsia"/>
              </w:rPr>
            </w:pPr>
            <w:r>
              <w:rPr>
                <w:rFonts w:hint="eastAsia"/>
                <w:lang w:val="en-US" w:eastAsia="zh-CN"/>
              </w:rPr>
              <w:t>4、</w:t>
            </w:r>
            <w:r>
              <w:rPr>
                <w:rFonts w:hint="eastAsia"/>
              </w:rPr>
              <w:t>上次不符合的整改情况</w:t>
            </w:r>
          </w:p>
          <w:p>
            <w:pPr>
              <w:spacing w:line="240" w:lineRule="exact"/>
              <w:rPr>
                <w:rFonts w:ascii="宋体" w:hAnsi="宋体"/>
                <w:b/>
                <w:sz w:val="21"/>
                <w:szCs w:val="21"/>
              </w:rPr>
            </w:pPr>
            <w:r>
              <w:rPr>
                <w:rFonts w:hint="eastAsia" w:ascii="宋体" w:hAnsi="宋体"/>
                <w:b/>
                <w:sz w:val="21"/>
                <w:szCs w:val="21"/>
              </w:rPr>
              <w:t>上次不符合项已关闭，符合要求。</w:t>
            </w:r>
          </w:p>
          <w:p>
            <w:pPr>
              <w:pStyle w:val="2"/>
              <w:numPr>
                <w:numId w:val="0"/>
              </w:numPr>
              <w:ind w:leftChars="-50"/>
            </w:pP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0</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40" w:lineRule="exact"/>
              <w:rPr>
                <w:sz w:val="22"/>
                <w:szCs w:val="22"/>
              </w:rPr>
            </w:pPr>
            <w:r>
              <w:rPr>
                <w:rFonts w:hint="eastAsia" w:ascii="宋体" w:hAnsi="宋体"/>
                <w:b/>
                <w:bCs/>
                <w:sz w:val="21"/>
                <w:szCs w:val="21"/>
              </w:rPr>
              <w:t>■</w:t>
            </w:r>
            <w:r>
              <w:rPr>
                <w:rFonts w:hint="eastAsia"/>
                <w:sz w:val="22"/>
                <w:szCs w:val="22"/>
              </w:rPr>
              <w:t>QMS</w:t>
            </w:r>
            <w:r>
              <w:rPr>
                <w:rFonts w:hint="eastAsia" w:ascii="宋体" w:hAnsi="宋体"/>
                <w:sz w:val="22"/>
                <w:szCs w:val="22"/>
              </w:rPr>
              <w:t>持续的符合性及运行的有效性，以及与认证范围的持续相关性和适宜性及自我完善机制等。</w:t>
            </w:r>
          </w:p>
          <w:tbl>
            <w:tblPr>
              <w:tblStyle w:val="6"/>
              <w:tblW w:w="4904" w:type="dxa"/>
              <w:tblInd w:w="155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6"/>
                    <w:spacing w:line="340" w:lineRule="exact"/>
                    <w:jc w:val="both"/>
                    <w:rPr>
                      <w:kern w:val="2"/>
                      <w:sz w:val="21"/>
                      <w:szCs w:val="21"/>
                    </w:rPr>
                  </w:pPr>
                  <w:r>
                    <w:rPr>
                      <w:rFonts w:hint="eastAsia"/>
                      <w:kern w:val="2"/>
                      <w:sz w:val="21"/>
                      <w:szCs w:val="21"/>
                    </w:rPr>
                    <w:t>审核准则的要求</w:t>
                  </w:r>
                </w:p>
              </w:tc>
              <w:tc>
                <w:tcPr>
                  <w:tcW w:w="967"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ascii="宋体" w:hAnsi="宋体"/>
                      <w:b/>
                      <w:bCs/>
                      <w:sz w:val="21"/>
                      <w:szCs w:val="21"/>
                    </w:rPr>
                    <w:t>■</w:t>
                  </w:r>
                  <w:r>
                    <w:rPr>
                      <w:rFonts w:hint="eastAsia"/>
                      <w:kern w:val="2"/>
                      <w:sz w:val="21"/>
                      <w:szCs w:val="21"/>
                    </w:rPr>
                    <w:t>符合</w:t>
                  </w:r>
                </w:p>
              </w:tc>
              <w:tc>
                <w:tcPr>
                  <w:tcW w:w="1134"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b/>
                      <w:bCs/>
                      <w:sz w:val="21"/>
                      <w:szCs w:val="21"/>
                    </w:rPr>
                    <w:t>□</w:t>
                  </w:r>
                  <w:r>
                    <w:rPr>
                      <w:rFonts w:hint="eastAsia"/>
                      <w:kern w:val="2"/>
                      <w:sz w:val="21"/>
                      <w:szCs w:val="21"/>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6"/>
                    <w:spacing w:line="340" w:lineRule="exact"/>
                    <w:jc w:val="both"/>
                    <w:rPr>
                      <w:kern w:val="2"/>
                      <w:sz w:val="21"/>
                      <w:szCs w:val="21"/>
                    </w:rPr>
                  </w:pPr>
                  <w:r>
                    <w:rPr>
                      <w:rFonts w:hint="eastAsia"/>
                      <w:sz w:val="21"/>
                      <w:szCs w:val="21"/>
                    </w:rPr>
                    <w:t>适用要求</w:t>
                  </w:r>
                </w:p>
              </w:tc>
              <w:tc>
                <w:tcPr>
                  <w:tcW w:w="967"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ascii="宋体" w:hAnsi="宋体"/>
                      <w:b/>
                      <w:bCs/>
                      <w:sz w:val="21"/>
                      <w:szCs w:val="21"/>
                    </w:rPr>
                    <w:t>■</w:t>
                  </w:r>
                  <w:r>
                    <w:rPr>
                      <w:rFonts w:hint="eastAsia"/>
                      <w:sz w:val="21"/>
                      <w:szCs w:val="21"/>
                    </w:rPr>
                    <w:t>满足</w:t>
                  </w:r>
                </w:p>
              </w:tc>
              <w:tc>
                <w:tcPr>
                  <w:tcW w:w="1134"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b/>
                      <w:bCs/>
                      <w:sz w:val="21"/>
                      <w:szCs w:val="21"/>
                    </w:rPr>
                    <w:t>□</w:t>
                  </w:r>
                  <w:r>
                    <w:rPr>
                      <w:rFonts w:hint="eastAsia"/>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6"/>
                    <w:spacing w:line="340" w:lineRule="exact"/>
                    <w:jc w:val="both"/>
                    <w:rPr>
                      <w:kern w:val="2"/>
                      <w:sz w:val="21"/>
                      <w:szCs w:val="21"/>
                    </w:rPr>
                  </w:pPr>
                  <w:r>
                    <w:rPr>
                      <w:rFonts w:hint="eastAsia"/>
                      <w:sz w:val="21"/>
                      <w:szCs w:val="21"/>
                    </w:rPr>
                    <w:t>实现预期结果的能力</w:t>
                  </w:r>
                </w:p>
              </w:tc>
              <w:tc>
                <w:tcPr>
                  <w:tcW w:w="967"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ascii="宋体" w:hAnsi="宋体"/>
                      <w:b/>
                      <w:bCs/>
                      <w:sz w:val="21"/>
                      <w:szCs w:val="21"/>
                    </w:rPr>
                    <w:t>■</w:t>
                  </w:r>
                  <w:r>
                    <w:rPr>
                      <w:rFonts w:hint="eastAsia"/>
                      <w:sz w:val="21"/>
                      <w:szCs w:val="21"/>
                    </w:rPr>
                    <w:t>满足</w:t>
                  </w:r>
                </w:p>
              </w:tc>
              <w:tc>
                <w:tcPr>
                  <w:tcW w:w="1134"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b/>
                      <w:bCs/>
                      <w:sz w:val="21"/>
                      <w:szCs w:val="21"/>
                    </w:rPr>
                    <w:t>□</w:t>
                  </w:r>
                  <w:r>
                    <w:rPr>
                      <w:rFonts w:hint="eastAsia"/>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6"/>
                    <w:spacing w:line="340" w:lineRule="exact"/>
                    <w:jc w:val="both"/>
                    <w:rPr>
                      <w:kern w:val="2"/>
                      <w:sz w:val="21"/>
                      <w:szCs w:val="21"/>
                    </w:rPr>
                  </w:pPr>
                  <w:r>
                    <w:rPr>
                      <w:rFonts w:hint="eastAsia"/>
                      <w:sz w:val="21"/>
                      <w:szCs w:val="21"/>
                    </w:rPr>
                    <w:t>内部审核和管理评审过程</w:t>
                  </w:r>
                </w:p>
              </w:tc>
              <w:tc>
                <w:tcPr>
                  <w:tcW w:w="967"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ascii="宋体" w:hAnsi="宋体"/>
                      <w:b/>
                      <w:bCs/>
                      <w:sz w:val="21"/>
                      <w:szCs w:val="21"/>
                    </w:rPr>
                    <w:t>■</w:t>
                  </w:r>
                  <w:r>
                    <w:rPr>
                      <w:rFonts w:hint="eastAsia"/>
                      <w:sz w:val="21"/>
                      <w:szCs w:val="21"/>
                    </w:rPr>
                    <w:t>有效</w:t>
                  </w:r>
                </w:p>
              </w:tc>
              <w:tc>
                <w:tcPr>
                  <w:tcW w:w="1134"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b/>
                      <w:bCs/>
                      <w:sz w:val="21"/>
                      <w:szCs w:val="21"/>
                    </w:rPr>
                    <w:t>□</w:t>
                  </w:r>
                  <w:r>
                    <w:rPr>
                      <w:rFonts w:hint="eastAsia"/>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6"/>
                    <w:spacing w:line="340" w:lineRule="exact"/>
                    <w:jc w:val="both"/>
                    <w:rPr>
                      <w:kern w:val="2"/>
                      <w:sz w:val="21"/>
                      <w:szCs w:val="21"/>
                    </w:rPr>
                  </w:pPr>
                  <w:r>
                    <w:rPr>
                      <w:rFonts w:hint="eastAsia"/>
                      <w:sz w:val="21"/>
                      <w:szCs w:val="21"/>
                    </w:rPr>
                    <w:t>审核目的</w:t>
                  </w:r>
                </w:p>
              </w:tc>
              <w:tc>
                <w:tcPr>
                  <w:tcW w:w="967"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ascii="宋体" w:hAnsi="宋体"/>
                      <w:b/>
                      <w:bCs/>
                      <w:sz w:val="21"/>
                      <w:szCs w:val="21"/>
                    </w:rPr>
                    <w:t>■</w:t>
                  </w:r>
                  <w:r>
                    <w:rPr>
                      <w:rFonts w:hint="eastAsia"/>
                      <w:sz w:val="21"/>
                      <w:szCs w:val="21"/>
                    </w:rPr>
                    <w:t>达到</w:t>
                  </w:r>
                </w:p>
              </w:tc>
              <w:tc>
                <w:tcPr>
                  <w:tcW w:w="1134"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b/>
                      <w:bCs/>
                      <w:sz w:val="21"/>
                      <w:szCs w:val="21"/>
                    </w:rPr>
                    <w:t>□</w:t>
                  </w:r>
                  <w:r>
                    <w:rPr>
                      <w:rFonts w:hint="eastAsia"/>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PrEx>
              <w:tc>
                <w:tcPr>
                  <w:tcW w:w="2803" w:type="dxa"/>
                  <w:tcBorders>
                    <w:top w:val="dotted" w:color="EEECE1" w:sz="2" w:space="0"/>
                    <w:left w:val="dotted" w:color="EEECE1" w:sz="2" w:space="0"/>
                    <w:bottom w:val="dotted" w:color="EEECE1" w:sz="2" w:space="0"/>
                    <w:right w:val="dotted" w:color="EEECE1" w:sz="2" w:space="0"/>
                  </w:tcBorders>
                </w:tcPr>
                <w:p>
                  <w:pPr>
                    <w:pStyle w:val="16"/>
                    <w:spacing w:line="340" w:lineRule="exact"/>
                    <w:jc w:val="both"/>
                    <w:rPr>
                      <w:kern w:val="2"/>
                      <w:sz w:val="21"/>
                      <w:szCs w:val="21"/>
                    </w:rPr>
                  </w:pPr>
                  <w:r>
                    <w:rPr>
                      <w:rFonts w:hint="eastAsia"/>
                      <w:kern w:val="2"/>
                      <w:sz w:val="21"/>
                      <w:szCs w:val="21"/>
                    </w:rPr>
                    <w:t>体系运行</w:t>
                  </w:r>
                </w:p>
              </w:tc>
              <w:tc>
                <w:tcPr>
                  <w:tcW w:w="967"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ascii="宋体" w:hAnsi="宋体"/>
                      <w:b/>
                      <w:bCs/>
                      <w:sz w:val="21"/>
                      <w:szCs w:val="21"/>
                    </w:rPr>
                    <w:t>■</w:t>
                  </w:r>
                  <w:r>
                    <w:rPr>
                      <w:rFonts w:hint="eastAsia"/>
                      <w:sz w:val="21"/>
                      <w:szCs w:val="21"/>
                    </w:rPr>
                    <w:t>有效</w:t>
                  </w:r>
                </w:p>
              </w:tc>
              <w:tc>
                <w:tcPr>
                  <w:tcW w:w="1134"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b/>
                      <w:bCs/>
                      <w:sz w:val="21"/>
                      <w:szCs w:val="21"/>
                    </w:rPr>
                    <w:t>□</w:t>
                  </w:r>
                  <w:r>
                    <w:rPr>
                      <w:rFonts w:hint="eastAsia"/>
                      <w:sz w:val="21"/>
                      <w:szCs w:val="21"/>
                    </w:rPr>
                    <w:t>无效</w:t>
                  </w:r>
                </w:p>
              </w:tc>
            </w:tr>
          </w:tbl>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r>
        <w:rPr>
          <w:rFonts w:hint="eastAsia"/>
          <w:sz w:val="22"/>
          <w:szCs w:val="22"/>
        </w:rPr>
        <w:drawing>
          <wp:inline distT="0" distB="0" distL="114300" distR="114300">
            <wp:extent cx="691515" cy="222885"/>
            <wp:effectExtent l="0" t="0" r="698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91515" cy="222885"/>
                    </a:xfrm>
                    <a:prstGeom prst="rect">
                      <a:avLst/>
                    </a:prstGeom>
                    <a:noFill/>
                    <a:ln>
                      <a:noFill/>
                    </a:ln>
                  </pic:spPr>
                </pic:pic>
              </a:graphicData>
            </a:graphic>
          </wp:inline>
        </w:drawing>
      </w:r>
    </w:p>
    <w:p>
      <w:pPr>
        <w:snapToGrid w:val="0"/>
        <w:spacing w:before="163" w:beforeLines="50" w:line="320" w:lineRule="exact"/>
        <w:ind w:firstLine="527" w:firstLineChars="250"/>
        <w:rPr>
          <w:b/>
          <w:sz w:val="21"/>
        </w:rPr>
      </w:pPr>
      <w:r>
        <w:rPr>
          <w:rFonts w:hint="eastAsia"/>
          <w:b/>
          <w:sz w:val="21"/>
        </w:rPr>
        <w:t>审核组组员（签名）：</w:t>
      </w:r>
      <w:r>
        <w:rPr>
          <w:rFonts w:hint="eastAsia"/>
          <w:sz w:val="22"/>
          <w:szCs w:val="22"/>
        </w:rPr>
        <w:drawing>
          <wp:inline distT="0" distB="0" distL="114300" distR="114300">
            <wp:extent cx="691515" cy="222885"/>
            <wp:effectExtent l="0" t="0" r="698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91515" cy="222885"/>
                    </a:xfrm>
                    <a:prstGeom prst="rect">
                      <a:avLst/>
                    </a:prstGeom>
                    <a:noFill/>
                    <a:ln>
                      <a:noFill/>
                    </a:ln>
                  </pic:spPr>
                </pic:pic>
              </a:graphicData>
            </a:graphic>
          </wp:inline>
        </w:drawing>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2021.3.21</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lang w:val="en-US" w:eastAsia="zh-CN"/>
        </w:rPr>
        <w:t>0</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4F530"/>
    <w:multiLevelType w:val="singleLevel"/>
    <w:tmpl w:val="AB44F530"/>
    <w:lvl w:ilvl="0" w:tentative="0">
      <w:start w:val="2"/>
      <w:numFmt w:val="decimal"/>
      <w:suff w:val="nothing"/>
      <w:lvlText w:val="%1、"/>
      <w:lvlJc w:val="left"/>
    </w:lvl>
  </w:abstractNum>
  <w:abstractNum w:abstractNumId="1">
    <w:nsid w:val="F024A769"/>
    <w:multiLevelType w:val="singleLevel"/>
    <w:tmpl w:val="F024A769"/>
    <w:lvl w:ilvl="0" w:tentative="0">
      <w:start w:val="1"/>
      <w:numFmt w:val="lowerLetter"/>
      <w:lvlText w:val="%1)"/>
      <w:lvlJc w:val="left"/>
      <w:pPr>
        <w:tabs>
          <w:tab w:val="left" w:pos="312"/>
        </w:tabs>
      </w:pPr>
    </w:lvl>
  </w:abstractNum>
  <w:abstractNum w:abstractNumId="2">
    <w:nsid w:val="F42007DA"/>
    <w:multiLevelType w:val="singleLevel"/>
    <w:tmpl w:val="F42007DA"/>
    <w:lvl w:ilvl="0" w:tentative="0">
      <w:start w:val="1"/>
      <w:numFmt w:val="decimal"/>
      <w:suff w:val="nothing"/>
      <w:lvlText w:val="%1、"/>
      <w:lvlJc w:val="left"/>
    </w:lvl>
  </w:abstractNum>
  <w:abstractNum w:abstractNumId="3">
    <w:nsid w:val="23A3117F"/>
    <w:multiLevelType w:val="singleLevel"/>
    <w:tmpl w:val="23A3117F"/>
    <w:lvl w:ilvl="0" w:tentative="0">
      <w:start w:val="3"/>
      <w:numFmt w:val="decimal"/>
      <w:lvlText w:val="%1."/>
      <w:lvlJc w:val="left"/>
      <w:pPr>
        <w:tabs>
          <w:tab w:val="left" w:pos="312"/>
        </w:tabs>
      </w:pPr>
    </w:lvl>
  </w:abstractNum>
  <w:abstractNum w:abstractNumId="4">
    <w:nsid w:val="28D57690"/>
    <w:multiLevelType w:val="singleLevel"/>
    <w:tmpl w:val="28D57690"/>
    <w:lvl w:ilvl="0" w:tentative="0">
      <w:start w:val="2"/>
      <w:numFmt w:val="decimal"/>
      <w:lvlText w:val="%1."/>
      <w:lvlJc w:val="left"/>
      <w:pPr>
        <w:tabs>
          <w:tab w:val="left" w:pos="312"/>
        </w:tabs>
      </w:pPr>
    </w:lvl>
  </w:abstractNum>
  <w:abstractNum w:abstractNumId="5">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3572A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styleId="3">
    <w:name w:val="Balloon Text"/>
    <w:basedOn w:val="1"/>
    <w:link w:val="9"/>
    <w:semiHidden/>
    <w:uiPriority w:val="99"/>
    <w:rPr>
      <w:sz w:val="18"/>
      <w:szCs w:val="18"/>
    </w:rPr>
  </w:style>
  <w:style w:type="paragraph" w:styleId="4">
    <w:name w:val="footer"/>
    <w:basedOn w:val="1"/>
    <w:link w:val="10"/>
    <w:semiHidden/>
    <w:uiPriority w:val="99"/>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locked/>
    <w:uiPriority w:val="99"/>
    <w:rPr>
      <w:rFonts w:ascii="Times New Roman" w:hAnsi="Times New Roman" w:eastAsia="宋体" w:cs="Times New Roman"/>
      <w:sz w:val="18"/>
      <w:szCs w:val="18"/>
    </w:rPr>
  </w:style>
  <w:style w:type="character" w:customStyle="1" w:styleId="10">
    <w:name w:val="页脚 Char"/>
    <w:link w:val="4"/>
    <w:semiHidden/>
    <w:locked/>
    <w:uiPriority w:val="99"/>
    <w:rPr>
      <w:rFonts w:ascii="Times New Roman" w:hAnsi="Times New Roman" w:eastAsia="宋体" w:cs="Times New Roman"/>
      <w:sz w:val="18"/>
      <w:szCs w:val="18"/>
    </w:rPr>
  </w:style>
  <w:style w:type="character" w:customStyle="1" w:styleId="11">
    <w:name w:val="页眉 Char"/>
    <w:link w:val="5"/>
    <w:locked/>
    <w:uiPriority w:val="0"/>
    <w:rPr>
      <w:sz w:val="18"/>
    </w:rPr>
  </w:style>
  <w:style w:type="character" w:customStyle="1" w:styleId="12">
    <w:name w:val="页眉 Char1"/>
    <w:semiHidden/>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表格文字"/>
    <w:basedOn w:val="1"/>
    <w:qFormat/>
    <w:uiPriority w:val="0"/>
    <w:pPr>
      <w:spacing w:before="25" w:after="25"/>
    </w:pPr>
    <w:rPr>
      <w:bCs/>
      <w:spacing w:val="10"/>
    </w:rPr>
  </w:style>
  <w:style w:type="paragraph" w:customStyle="1" w:styleId="16">
    <w:name w:val="Default"/>
    <w:basedOn w:val="1"/>
    <w:qFormat/>
    <w:uiPriority w:val="0"/>
    <w:pPr>
      <w:autoSpaceDE w:val="0"/>
      <w:autoSpaceDN w:val="0"/>
      <w:adjustRightInd w:val="0"/>
      <w:jc w:val="left"/>
    </w:pPr>
    <w:rPr>
      <w:color w:val="000000"/>
      <w:kern w:val="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2</TotalTime>
  <ScaleCrop>false</ScaleCrop>
  <LinksUpToDate>false</LinksUpToDate>
  <CharactersWithSpaces>4294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Administrator</cp:lastModifiedBy>
  <cp:lastPrinted>2019-04-18T08:15:00Z</cp:lastPrinted>
  <dcterms:modified xsi:type="dcterms:W3CDTF">2021-03-23T09:39:48Z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E58982C1231D4BE4ACB4DAF4EDF34E3D</vt:lpwstr>
  </property>
</Properties>
</file>