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line="360" w:lineRule="auto"/>
              <w:jc w:val="center"/>
              <w:rPr>
                <w:szCs w:val="21"/>
              </w:rPr>
            </w:pPr>
            <w:r>
              <w:rPr>
                <w:rFonts w:hint="eastAsia"/>
                <w:szCs w:val="21"/>
              </w:rPr>
              <w:t>过程与活动、</w:t>
            </w:r>
          </w:p>
          <w:p>
            <w:pPr>
              <w:spacing w:line="360" w:lineRule="auto"/>
              <w:jc w:val="center"/>
              <w:rPr>
                <w:szCs w:val="21"/>
              </w:rPr>
            </w:pPr>
            <w:r>
              <w:rPr>
                <w:rFonts w:hint="eastAsia"/>
                <w:szCs w:val="21"/>
              </w:rPr>
              <w:t>抽样计划</w:t>
            </w:r>
          </w:p>
        </w:tc>
        <w:tc>
          <w:tcPr>
            <w:tcW w:w="960" w:type="dxa"/>
            <w:vMerge w:val="restart"/>
            <w:vAlign w:val="center"/>
          </w:tcPr>
          <w:p>
            <w:pPr>
              <w:spacing w:line="360" w:lineRule="auto"/>
              <w:rPr>
                <w:szCs w:val="21"/>
              </w:rPr>
            </w:pPr>
            <w:r>
              <w:rPr>
                <w:rFonts w:hint="eastAsia"/>
                <w:szCs w:val="21"/>
              </w:rPr>
              <w:t>涉及</w:t>
            </w:r>
          </w:p>
          <w:p>
            <w:pPr>
              <w:spacing w:line="360" w:lineRule="auto"/>
              <w:rPr>
                <w:szCs w:val="21"/>
              </w:rPr>
            </w:pPr>
            <w:r>
              <w:rPr>
                <w:rFonts w:hint="eastAsia"/>
                <w:szCs w:val="21"/>
              </w:rPr>
              <w:t>条款</w:t>
            </w:r>
          </w:p>
        </w:tc>
        <w:tc>
          <w:tcPr>
            <w:tcW w:w="10880" w:type="dxa"/>
            <w:vAlign w:val="center"/>
          </w:tcPr>
          <w:p>
            <w:pPr>
              <w:spacing w:line="360" w:lineRule="auto"/>
              <w:rPr>
                <w:rFonts w:hint="default" w:eastAsia="宋体"/>
                <w:color w:val="auto"/>
                <w:szCs w:val="21"/>
                <w:lang w:val="en-US" w:eastAsia="zh-CN"/>
              </w:rPr>
            </w:pPr>
            <w:r>
              <w:rPr>
                <w:rFonts w:hint="eastAsia"/>
                <w:szCs w:val="21"/>
              </w:rPr>
              <w:t>受审核部门：</w:t>
            </w:r>
            <w:r>
              <w:rPr>
                <w:rFonts w:hint="eastAsia" w:ascii="宋体" w:hAnsi="宋体" w:cs="Times New Roman"/>
                <w:sz w:val="21"/>
                <w:szCs w:val="21"/>
              </w:rPr>
              <w:t>管理层、</w:t>
            </w:r>
            <w:r>
              <w:rPr>
                <w:rFonts w:hint="eastAsia" w:ascii="宋体" w:hAnsi="宋体" w:cs="Times New Roman"/>
                <w:sz w:val="21"/>
                <w:szCs w:val="21"/>
                <w:lang w:val="en-US" w:eastAsia="zh-CN"/>
              </w:rPr>
              <w:t>综合办公室</w:t>
            </w:r>
            <w:r>
              <w:rPr>
                <w:rFonts w:hint="eastAsia" w:ascii="宋体" w:hAnsi="宋体" w:cs="Times New Roman"/>
                <w:sz w:val="21"/>
                <w:szCs w:val="21"/>
              </w:rPr>
              <w:t>、</w:t>
            </w:r>
            <w:r>
              <w:rPr>
                <w:rFonts w:hint="eastAsia" w:ascii="宋体" w:hAnsi="宋体" w:cs="Times New Roman"/>
                <w:sz w:val="21"/>
                <w:szCs w:val="21"/>
                <w:lang w:val="en-US" w:eastAsia="zh-CN"/>
              </w:rPr>
              <w:t>战略发展部</w:t>
            </w:r>
            <w:r>
              <w:rPr>
                <w:rFonts w:hint="eastAsia" w:ascii="宋体" w:hAnsi="宋体" w:cs="Times New Roman"/>
                <w:sz w:val="21"/>
                <w:szCs w:val="21"/>
              </w:rPr>
              <w:t>、</w:t>
            </w:r>
            <w:r>
              <w:rPr>
                <w:rFonts w:hint="eastAsia" w:ascii="宋体" w:hAnsi="宋体" w:cs="Times New Roman"/>
                <w:sz w:val="21"/>
                <w:szCs w:val="21"/>
                <w:lang w:val="en-US" w:eastAsia="zh-CN"/>
              </w:rPr>
              <w:t>计量部、办公室</w:t>
            </w:r>
          </w:p>
          <w:p>
            <w:pPr>
              <w:spacing w:line="360" w:lineRule="auto"/>
              <w:rPr>
                <w:rFonts w:hint="default" w:eastAsia="宋体"/>
                <w:szCs w:val="21"/>
                <w:lang w:val="en-US" w:eastAsia="zh-CN"/>
              </w:rPr>
            </w:pPr>
            <w:r>
              <w:rPr>
                <w:rFonts w:hint="eastAsia" w:asciiTheme="minorEastAsia" w:hAnsiTheme="minorEastAsia" w:eastAsiaTheme="minorEastAsia" w:cstheme="minorEastAsia"/>
                <w:sz w:val="21"/>
                <w:szCs w:val="21"/>
                <w:lang w:val="en-US" w:eastAsia="zh-CN"/>
              </w:rPr>
              <w:t>总经理</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赵平     管代：赵洁     </w:t>
            </w:r>
            <w:r>
              <w:rPr>
                <w:rFonts w:hint="eastAsia" w:asciiTheme="minorEastAsia" w:hAnsiTheme="minorEastAsia" w:eastAsiaTheme="minorEastAsia" w:cstheme="minorEastAsia"/>
                <w:sz w:val="21"/>
                <w:szCs w:val="21"/>
              </w:rPr>
              <w:t xml:space="preserve"> 陪同人员：</w:t>
            </w:r>
            <w:r>
              <w:rPr>
                <w:rFonts w:hint="eastAsia" w:asciiTheme="minorEastAsia" w:hAnsiTheme="minorEastAsia" w:eastAsiaTheme="minorEastAsia" w:cstheme="minorEastAsia"/>
                <w:sz w:val="21"/>
                <w:szCs w:val="21"/>
                <w:lang w:val="en-US" w:eastAsia="zh-CN"/>
              </w:rPr>
              <w:t>孙玲梅</w:t>
            </w:r>
          </w:p>
        </w:tc>
        <w:tc>
          <w:tcPr>
            <w:tcW w:w="709" w:type="dxa"/>
            <w:vMerge w:val="restart"/>
            <w:vAlign w:val="center"/>
          </w:tcPr>
          <w:p>
            <w:pPr>
              <w:spacing w:line="360" w:lineRule="auto"/>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widowControl/>
              <w:spacing w:line="360" w:lineRule="auto"/>
              <w:jc w:val="left"/>
              <w:rPr>
                <w:szCs w:val="21"/>
              </w:rPr>
            </w:pPr>
          </w:p>
        </w:tc>
        <w:tc>
          <w:tcPr>
            <w:tcW w:w="960" w:type="dxa"/>
            <w:vMerge w:val="continue"/>
            <w:vAlign w:val="center"/>
          </w:tcPr>
          <w:p>
            <w:pPr>
              <w:widowControl/>
              <w:spacing w:line="360" w:lineRule="auto"/>
              <w:jc w:val="left"/>
              <w:rPr>
                <w:szCs w:val="21"/>
              </w:rPr>
            </w:pPr>
          </w:p>
        </w:tc>
        <w:tc>
          <w:tcPr>
            <w:tcW w:w="10880" w:type="dxa"/>
            <w:vAlign w:val="center"/>
          </w:tcPr>
          <w:p>
            <w:pPr>
              <w:spacing w:before="120" w:line="360" w:lineRule="auto"/>
              <w:rPr>
                <w:szCs w:val="21"/>
              </w:rPr>
            </w:pPr>
            <w:r>
              <w:rPr>
                <w:rFonts w:hint="eastAsia"/>
                <w:szCs w:val="21"/>
              </w:rPr>
              <w:t>审核员：李俐、</w:t>
            </w:r>
            <w:r>
              <w:rPr>
                <w:rFonts w:hint="eastAsia"/>
                <w:szCs w:val="21"/>
                <w:lang w:val="en-US" w:eastAsia="zh-CN"/>
              </w:rPr>
              <w:t>郭力</w:t>
            </w:r>
            <w:r>
              <w:rPr>
                <w:szCs w:val="21"/>
              </w:rPr>
              <w:t xml:space="preserve">   </w:t>
            </w:r>
            <w:r>
              <w:rPr>
                <w:rFonts w:hint="eastAsia"/>
                <w:szCs w:val="21"/>
                <w:lang w:val="en-US" w:eastAsia="zh-CN"/>
              </w:rPr>
              <w:t xml:space="preserve">        </w:t>
            </w:r>
            <w:r>
              <w:rPr>
                <w:szCs w:val="21"/>
              </w:rPr>
              <w:t xml:space="preserve"> </w:t>
            </w:r>
            <w:r>
              <w:rPr>
                <w:rFonts w:hint="eastAsia"/>
                <w:szCs w:val="21"/>
              </w:rPr>
              <w:t>审核时间：</w:t>
            </w:r>
            <w:r>
              <w:rPr>
                <w:szCs w:val="21"/>
              </w:rPr>
              <w:t xml:space="preserve"> </w:t>
            </w:r>
            <w:r>
              <w:rPr>
                <w:rFonts w:hint="eastAsia"/>
                <w:szCs w:val="21"/>
              </w:rPr>
              <w:t>20</w:t>
            </w:r>
            <w:r>
              <w:rPr>
                <w:rFonts w:hint="eastAsia"/>
                <w:szCs w:val="21"/>
                <w:lang w:val="en-US" w:eastAsia="zh-CN"/>
              </w:rPr>
              <w:t>21</w:t>
            </w:r>
            <w:r>
              <w:rPr>
                <w:rFonts w:hint="eastAsia"/>
                <w:szCs w:val="21"/>
              </w:rPr>
              <w:t>年</w:t>
            </w:r>
            <w:r>
              <w:rPr>
                <w:rFonts w:hint="eastAsia"/>
                <w:szCs w:val="21"/>
                <w:lang w:val="en-US" w:eastAsia="zh-CN"/>
              </w:rPr>
              <w:t>3</w:t>
            </w:r>
            <w:r>
              <w:rPr>
                <w:rFonts w:hint="eastAsia"/>
                <w:szCs w:val="21"/>
              </w:rPr>
              <w:t>月</w:t>
            </w:r>
            <w:r>
              <w:rPr>
                <w:rFonts w:hint="eastAsia"/>
                <w:szCs w:val="21"/>
                <w:lang w:val="en-US" w:eastAsia="zh-CN"/>
              </w:rPr>
              <w:t>17</w:t>
            </w:r>
            <w:r>
              <w:rPr>
                <w:rFonts w:hint="eastAsia"/>
                <w:szCs w:val="21"/>
              </w:rPr>
              <w:t>日</w:t>
            </w:r>
          </w:p>
        </w:tc>
        <w:tc>
          <w:tcPr>
            <w:tcW w:w="709" w:type="dxa"/>
            <w:vMerge w:val="continue"/>
            <w:vAlign w:val="center"/>
          </w:tcPr>
          <w:p>
            <w:pPr>
              <w:widowControl/>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widowControl/>
              <w:spacing w:line="360" w:lineRule="auto"/>
              <w:jc w:val="left"/>
              <w:rPr>
                <w:szCs w:val="21"/>
              </w:rPr>
            </w:pPr>
          </w:p>
        </w:tc>
        <w:tc>
          <w:tcPr>
            <w:tcW w:w="960" w:type="dxa"/>
            <w:vMerge w:val="continue"/>
            <w:vAlign w:val="center"/>
          </w:tcPr>
          <w:p>
            <w:pPr>
              <w:widowControl/>
              <w:spacing w:line="360" w:lineRule="auto"/>
              <w:jc w:val="left"/>
              <w:rPr>
                <w:szCs w:val="21"/>
              </w:rPr>
            </w:pPr>
          </w:p>
        </w:tc>
        <w:tc>
          <w:tcPr>
            <w:tcW w:w="10880" w:type="dxa"/>
            <w:vAlign w:val="center"/>
          </w:tcPr>
          <w:p>
            <w:pPr>
              <w:spacing w:line="360" w:lineRule="auto"/>
              <w:rPr>
                <w:rFonts w:hint="eastAsia" w:eastAsia="宋体"/>
                <w:szCs w:val="21"/>
                <w:lang w:val="en-US" w:eastAsia="zh-CN"/>
              </w:rPr>
            </w:pPr>
            <w:r>
              <w:rPr>
                <w:rFonts w:hint="eastAsia"/>
                <w:szCs w:val="21"/>
              </w:rPr>
              <w:t>审核条款：</w:t>
            </w:r>
            <w:r>
              <w:rPr>
                <w:rFonts w:hint="eastAsia"/>
                <w:szCs w:val="21"/>
                <w:lang w:val="en-US" w:eastAsia="zh-CN"/>
              </w:rPr>
              <w:t>略</w:t>
            </w:r>
          </w:p>
        </w:tc>
        <w:tc>
          <w:tcPr>
            <w:tcW w:w="709" w:type="dxa"/>
            <w:vMerge w:val="continue"/>
            <w:vAlign w:val="center"/>
          </w:tcPr>
          <w:p>
            <w:pPr>
              <w:widowControl/>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szCs w:val="21"/>
              </w:rPr>
            </w:pPr>
            <w:r>
              <w:rPr>
                <w:rFonts w:hint="eastAsia"/>
                <w:szCs w:val="21"/>
              </w:rPr>
              <w:t>企业名称确认</w:t>
            </w:r>
          </w:p>
          <w:p>
            <w:pPr>
              <w:spacing w:line="360" w:lineRule="auto"/>
              <w:rPr>
                <w:szCs w:val="21"/>
              </w:rPr>
            </w:pPr>
            <w:r>
              <w:rPr>
                <w:rFonts w:hint="eastAsia"/>
                <w:szCs w:val="21"/>
              </w:rPr>
              <w:t>地址（包括注册地址、生产</w:t>
            </w:r>
            <w:r>
              <w:rPr>
                <w:szCs w:val="21"/>
              </w:rPr>
              <w:t>/</w:t>
            </w:r>
            <w:r>
              <w:rPr>
                <w:rFonts w:hint="eastAsia"/>
                <w:szCs w:val="21"/>
              </w:rPr>
              <w:t>经营地址）、多场所地址等</w:t>
            </w:r>
          </w:p>
          <w:p>
            <w:pPr>
              <w:spacing w:line="360" w:lineRule="auto"/>
              <w:rPr>
                <w:szCs w:val="21"/>
              </w:rPr>
            </w:pPr>
            <w:r>
              <w:rPr>
                <w:rFonts w:hint="eastAsia"/>
                <w:szCs w:val="21"/>
              </w:rPr>
              <w:t>营业执照、组织机构代码证、相关资质的有效性确认</w:t>
            </w:r>
          </w:p>
          <w:p>
            <w:pPr>
              <w:widowControl/>
              <w:spacing w:line="360" w:lineRule="auto"/>
              <w:jc w:val="left"/>
              <w:rPr>
                <w:szCs w:val="21"/>
              </w:rPr>
            </w:pPr>
          </w:p>
        </w:tc>
        <w:tc>
          <w:tcPr>
            <w:tcW w:w="960" w:type="dxa"/>
            <w:vAlign w:val="center"/>
          </w:tcPr>
          <w:p>
            <w:pPr>
              <w:widowControl/>
              <w:spacing w:line="360" w:lineRule="auto"/>
              <w:jc w:val="left"/>
              <w:rPr>
                <w:szCs w:val="21"/>
              </w:rPr>
            </w:pPr>
          </w:p>
        </w:tc>
        <w:tc>
          <w:tcPr>
            <w:tcW w:w="10880" w:type="dxa"/>
            <w:vAlign w:val="center"/>
          </w:tcPr>
          <w:p>
            <w:pPr>
              <w:spacing w:line="360" w:lineRule="auto"/>
              <w:ind w:firstLine="57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面谈人员：总经理：赵平    管代： 赵洁  </w:t>
            </w:r>
          </w:p>
          <w:p>
            <w:pPr>
              <w:spacing w:line="360" w:lineRule="auto"/>
              <w:ind w:firstLine="57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总经理介绍公司成立于2004年07月22日，公司是1996年原陕西省质量技术监督局计量检定授权西仪集团下设的“机械工业部第九计量测试中心站”，2000年政府机构改革机械工业部退出行政建制，2001年复查时根据省局有关领导的意见，授权单位名称变更为“西仪集团有限责任公司西安工业自动化仪表研究所计量中心”。2004年根据“计量认证”资质认定相关要求成立股份制公司“西安西自仪检测技术有限公司”。在2006年复查过程中，授权单位名称变更为“西安西自仪检测技术有限公司（西仪集团有限责任公司西安工业自动化仪表研究所计量中心）”，2017年集团流程再造，将西仪集团有限责任公司西安工业自动化仪表研究所划转到西仪股份有限公司，授权单位变更为“西安西自仪检测技术有限公司（西仪股份有限公司工业自动化仪表研究所分公司。公司注册资金1000万元，是陕西省质量技术监督局批准的面向是社会的法定计量检定/校准专业机构，法定计量机构授权许可证号610000154，专业涉及压力、化学、流量、热工等计量检定/校准专业，尤其在流量专业领域是除了陕西省计量科学研究院之外，唯一可以全面检定/校准的第三方检定机构，且出具的证书和检测报告具有权威性和公正性。</w:t>
            </w:r>
          </w:p>
          <w:p>
            <w:pPr>
              <w:spacing w:line="360" w:lineRule="auto"/>
              <w:ind w:firstLine="57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西安西自仪检测技术有限公司现拥有一批科研能力、实验室管理经验丰富、实际操作熟练、在检测领域从业多年的人才，大专以上人员占100%，其中高工1人，一级注册计量师2人，二级注册计量师9人。</w:t>
            </w:r>
          </w:p>
          <w:p>
            <w:pPr>
              <w:spacing w:line="360" w:lineRule="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查：申请方提供的各类资质证明：</w:t>
            </w:r>
          </w:p>
          <w:p>
            <w:pPr>
              <w:spacing w:line="360" w:lineRule="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《营业执照》：</w:t>
            </w:r>
          </w:p>
          <w:p>
            <w:pPr>
              <w:spacing w:line="360" w:lineRule="auto"/>
              <w:ind w:firstLine="57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公司名称：西安西自仪检测技术有限公司，公司成立：2004年07月22日成立，有效期：长期</w:t>
            </w:r>
          </w:p>
          <w:p>
            <w:pPr>
              <w:spacing w:line="360" w:lineRule="auto"/>
              <w:ind w:firstLine="57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法人代表：赵平。注册资金1000万元。</w:t>
            </w:r>
          </w:p>
          <w:p>
            <w:pPr>
              <w:spacing w:line="360" w:lineRule="auto"/>
              <w:ind w:firstLine="57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注册地址：陕西省西安市高新区丈八街办高新六路52号立人科技园C座一层西</w:t>
            </w:r>
          </w:p>
          <w:p>
            <w:pPr>
              <w:spacing w:line="360" w:lineRule="auto"/>
              <w:ind w:firstLine="570"/>
              <w:rPr>
                <w:rFonts w:hint="eastAsia" w:ascii="Times New Roman" w:hAnsi="Times New Roman" w:eastAsia="宋体" w:cs="Times New Roman"/>
                <w:szCs w:val="22"/>
                <w:lang w:val="de-DE" w:eastAsia="zh-CN"/>
              </w:rPr>
            </w:pPr>
            <w:r>
              <w:rPr>
                <w:rFonts w:hint="eastAsia" w:ascii="Times New Roman" w:hAnsi="Times New Roman" w:eastAsia="宋体" w:cs="Times New Roman"/>
                <w:szCs w:val="22"/>
                <w:lang w:val="de-DE" w:eastAsia="zh-CN"/>
              </w:rPr>
              <w:t>经营地址：</w:t>
            </w:r>
            <w:r>
              <w:rPr>
                <w:rFonts w:hint="eastAsia" w:ascii="Times New Roman" w:hAnsi="Times New Roman" w:eastAsia="宋体" w:cs="Times New Roman"/>
                <w:szCs w:val="22"/>
                <w:lang w:val="en-US" w:eastAsia="zh-CN"/>
              </w:rPr>
              <w:t>陕西省西安市高新区丈八街办高新六路52号立人科技园C座一层西</w:t>
            </w:r>
          </w:p>
          <w:p>
            <w:pPr>
              <w:spacing w:line="360" w:lineRule="auto"/>
              <w:ind w:firstLine="57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经营范围：一般项目∶计量器具的检定、校准、检验、检测、技术咨询、技术服务；机电设备、仪器仪表、五金交电、机械配件的研发、销售、安装、维护。（依法须经批准的项目，经相关部门批准后方可开展经营活动）</w:t>
            </w:r>
          </w:p>
          <w:p>
            <w:pPr>
              <w:spacing w:line="360" w:lineRule="auto"/>
              <w:ind w:firstLine="57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营业执照符合要求，见附件。</w:t>
            </w:r>
          </w:p>
          <w:p>
            <w:pPr>
              <w:pStyle w:val="2"/>
              <w:spacing w:line="360" w:lineRule="auto"/>
              <w:rPr>
                <w:rFonts w:hint="default"/>
                <w:lang w:val="en-US" w:eastAsia="zh-CN"/>
              </w:rPr>
            </w:pPr>
            <w:r>
              <w:rPr>
                <w:rFonts w:hint="eastAsia"/>
                <w:lang w:val="en-US" w:eastAsia="zh-CN"/>
              </w:rPr>
              <w:t>《计量授权证书》：2018年5月31日由陕西省质量技术监督局发证，证书编号为（陕）法计（2018）610000153号，证书2023年5月30日。资质符合要求，见附件。</w:t>
            </w:r>
          </w:p>
          <w:p>
            <w:pPr>
              <w:spacing w:line="360" w:lineRule="auto"/>
              <w:ind w:firstLine="57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资质满足认证范围的要求。</w:t>
            </w:r>
          </w:p>
        </w:tc>
        <w:tc>
          <w:tcPr>
            <w:tcW w:w="709" w:type="dxa"/>
            <w:vAlign w:val="center"/>
          </w:tcPr>
          <w:p>
            <w:pPr>
              <w:widowControl/>
              <w:spacing w:line="360" w:lineRule="auto"/>
              <w:jc w:val="left"/>
              <w:rPr>
                <w:rFonts w:hint="default" w:eastAsia="宋体"/>
                <w:szCs w:val="21"/>
                <w:lang w:val="en-US" w:eastAsia="zh-CN"/>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szCs w:val="21"/>
              </w:rPr>
            </w:pPr>
            <w:r>
              <w:rPr>
                <w:rFonts w:hint="eastAsia" w:ascii="宋体" w:hAnsi="宋体"/>
                <w:szCs w:val="21"/>
              </w:rPr>
              <w:t>近两年与质量、环境和职业健康安全管理体系等方面是否有违规被处罚、媒体通报情况；</w:t>
            </w:r>
          </w:p>
        </w:tc>
        <w:tc>
          <w:tcPr>
            <w:tcW w:w="960" w:type="dxa"/>
            <w:vAlign w:val="center"/>
          </w:tcPr>
          <w:p>
            <w:pPr>
              <w:widowControl/>
              <w:spacing w:line="360" w:lineRule="auto"/>
              <w:jc w:val="left"/>
              <w:rPr>
                <w:szCs w:val="21"/>
              </w:rPr>
            </w:pPr>
          </w:p>
        </w:tc>
        <w:tc>
          <w:tcPr>
            <w:tcW w:w="10880" w:type="dxa"/>
            <w:vAlign w:val="center"/>
          </w:tcPr>
          <w:p>
            <w:pPr>
              <w:spacing w:line="360" w:lineRule="auto"/>
              <w:rPr>
                <w:szCs w:val="21"/>
              </w:rPr>
            </w:pPr>
            <w:r>
              <w:rPr>
                <w:rFonts w:hint="eastAsia" w:ascii="宋体" w:hAnsi="宋体"/>
                <w:szCs w:val="21"/>
              </w:rPr>
              <w:t>审核过程中确认，近年来，该企业无质量、环境和职业健康安全管理体系等方面违规被处罚、媒体通报情况。</w:t>
            </w:r>
          </w:p>
          <w:p>
            <w:pPr>
              <w:pStyle w:val="2"/>
              <w:spacing w:line="360" w:lineRule="auto"/>
              <w:rPr>
                <w:rFonts w:hint="eastAsia"/>
                <w:szCs w:val="21"/>
                <w:lang w:val="en-US" w:eastAsia="zh-CN"/>
              </w:rPr>
            </w:pPr>
            <w:r>
              <w:rPr>
                <w:rFonts w:hint="eastAsia" w:ascii="宋体" w:hAnsi="宋体"/>
                <w:szCs w:val="21"/>
              </w:rPr>
              <w:t>内部沟通良好、</w:t>
            </w:r>
            <w:r>
              <w:rPr>
                <w:rFonts w:hint="eastAsia"/>
                <w:szCs w:val="21"/>
              </w:rPr>
              <w:t>外部提供过程的管理、</w:t>
            </w:r>
            <w:r>
              <w:rPr>
                <w:rFonts w:hint="eastAsia" w:ascii="宋体" w:hAnsi="宋体"/>
                <w:szCs w:val="21"/>
              </w:rPr>
              <w:t>顾客沟通及客户满意及员工及相关方的报怨、投诉的处理情况，二阶段详查</w:t>
            </w:r>
          </w:p>
        </w:tc>
        <w:tc>
          <w:tcPr>
            <w:tcW w:w="709" w:type="dxa"/>
            <w:vAlign w:val="center"/>
          </w:tcPr>
          <w:p>
            <w:pPr>
              <w:widowControl/>
              <w:spacing w:line="360" w:lineRule="auto"/>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2160" w:type="dxa"/>
            <w:vAlign w:val="center"/>
          </w:tcPr>
          <w:p>
            <w:pPr>
              <w:spacing w:line="360" w:lineRule="auto"/>
              <w:rPr>
                <w:szCs w:val="21"/>
              </w:rPr>
            </w:pPr>
            <w:r>
              <w:rPr>
                <w:rFonts w:hint="eastAsia"/>
                <w:szCs w:val="21"/>
              </w:rPr>
              <w:t>管理体系运行起始日</w:t>
            </w:r>
          </w:p>
          <w:p>
            <w:pPr>
              <w:spacing w:line="360" w:lineRule="auto"/>
              <w:rPr>
                <w:color w:val="FF0000"/>
                <w:szCs w:val="21"/>
              </w:rPr>
            </w:pPr>
            <w:r>
              <w:rPr>
                <w:rFonts w:hint="eastAsia"/>
                <w:szCs w:val="21"/>
              </w:rPr>
              <w:t>确认组织实际与管理体系文件描述的一致性</w:t>
            </w:r>
          </w:p>
          <w:p>
            <w:pPr>
              <w:spacing w:line="360" w:lineRule="auto"/>
              <w:rPr>
                <w:rFonts w:hint="eastAsia"/>
                <w:szCs w:val="21"/>
              </w:rPr>
            </w:pPr>
            <w:r>
              <w:rPr>
                <w:rFonts w:hint="eastAsia"/>
                <w:szCs w:val="21"/>
              </w:rPr>
              <w:t>组织机构（如部门设置和负责人，服务过程）</w:t>
            </w:r>
          </w:p>
        </w:tc>
        <w:tc>
          <w:tcPr>
            <w:tcW w:w="960" w:type="dxa"/>
            <w:vAlign w:val="center"/>
          </w:tcPr>
          <w:p>
            <w:pPr>
              <w:widowControl/>
              <w:spacing w:line="360" w:lineRule="auto"/>
              <w:jc w:val="left"/>
              <w:rPr>
                <w:szCs w:val="21"/>
              </w:rPr>
            </w:pPr>
          </w:p>
        </w:tc>
        <w:tc>
          <w:tcPr>
            <w:tcW w:w="10880" w:type="dxa"/>
            <w:vAlign w:val="center"/>
          </w:tcPr>
          <w:p>
            <w:pPr>
              <w:spacing w:line="360" w:lineRule="auto"/>
              <w:jc w:val="left"/>
              <w:rPr>
                <w:rFonts w:hint="eastAsia" w:ascii="宋体" w:hAnsi="宋体"/>
                <w:szCs w:val="21"/>
              </w:rPr>
            </w:pPr>
            <w:r>
              <w:rPr>
                <w:rFonts w:hint="eastAsia" w:ascii="宋体" w:hAnsi="宋体"/>
                <w:szCs w:val="21"/>
              </w:rPr>
              <w:t>质量环境职业健康安全管理体系</w:t>
            </w:r>
            <w:r>
              <w:rPr>
                <w:rFonts w:hint="eastAsia" w:ascii="宋体" w:hAnsi="宋体" w:eastAsia="宋体" w:cs="Times New Roman"/>
                <w:szCs w:val="21"/>
              </w:rPr>
              <w:t>于2020年9月1日建立</w:t>
            </w:r>
            <w:r>
              <w:rPr>
                <w:rFonts w:hint="eastAsia" w:ascii="宋体" w:hAnsi="宋体"/>
                <w:szCs w:val="21"/>
              </w:rPr>
              <w:t>并正式实施。</w:t>
            </w:r>
          </w:p>
          <w:p>
            <w:pPr>
              <w:spacing w:line="360" w:lineRule="auto"/>
              <w:rPr>
                <w:rFonts w:hint="default" w:ascii="宋体" w:hAnsi="宋体" w:eastAsia="宋体"/>
                <w:szCs w:val="21"/>
                <w:lang w:val="en-US" w:eastAsia="zh-CN"/>
              </w:rPr>
            </w:pPr>
            <w:r>
              <w:rPr>
                <w:rFonts w:hint="eastAsia"/>
              </w:rPr>
              <w:t>最管理者，</w:t>
            </w:r>
            <w:r>
              <w:rPr>
                <w:rFonts w:hint="eastAsia"/>
                <w:lang w:val="en-US" w:eastAsia="zh-CN"/>
              </w:rPr>
              <w:t>总经理：赵平  管代：赵洁</w:t>
            </w:r>
            <w:r>
              <w:rPr>
                <w:rFonts w:hint="eastAsia"/>
              </w:rPr>
              <w:t>，职业健康安全事务代表</w:t>
            </w:r>
            <w:r>
              <w:rPr>
                <w:rFonts w:hint="eastAsia"/>
                <w:lang w:eastAsia="zh-CN"/>
              </w:rPr>
              <w:t>：潘志伟</w:t>
            </w:r>
          </w:p>
          <w:p>
            <w:pPr>
              <w:spacing w:line="360" w:lineRule="auto"/>
              <w:jc w:val="left"/>
              <w:rPr>
                <w:rFonts w:hint="eastAsia" w:ascii="宋体" w:hAnsi="宋体"/>
                <w:szCs w:val="21"/>
              </w:rPr>
            </w:pPr>
            <w:r>
              <w:rPr>
                <w:rFonts w:hint="eastAsia" w:ascii="宋体" w:hAnsi="宋体"/>
                <w:szCs w:val="21"/>
              </w:rPr>
              <w:t>组织机构：</w:t>
            </w:r>
            <w:r>
              <w:rPr>
                <w:rFonts w:hint="eastAsia" w:ascii="宋体" w:hAnsi="宋体" w:cs="Times New Roman"/>
                <w:sz w:val="21"/>
                <w:szCs w:val="21"/>
              </w:rPr>
              <w:t>管理层、</w:t>
            </w:r>
            <w:r>
              <w:rPr>
                <w:rFonts w:hint="eastAsia" w:ascii="宋体" w:hAnsi="宋体" w:cs="Times New Roman"/>
                <w:sz w:val="21"/>
                <w:szCs w:val="21"/>
                <w:lang w:val="en-US" w:eastAsia="zh-CN"/>
              </w:rPr>
              <w:t>综合办公室</w:t>
            </w:r>
            <w:r>
              <w:rPr>
                <w:rFonts w:hint="eastAsia" w:ascii="宋体" w:hAnsi="宋体" w:cs="Times New Roman"/>
                <w:sz w:val="21"/>
                <w:szCs w:val="21"/>
              </w:rPr>
              <w:t>、</w:t>
            </w:r>
            <w:r>
              <w:rPr>
                <w:rFonts w:hint="eastAsia" w:ascii="宋体" w:hAnsi="宋体" w:cs="Times New Roman"/>
                <w:sz w:val="21"/>
                <w:szCs w:val="21"/>
                <w:lang w:val="en-US" w:eastAsia="zh-CN"/>
              </w:rPr>
              <w:t>战略发展部</w:t>
            </w:r>
            <w:r>
              <w:rPr>
                <w:rFonts w:hint="eastAsia" w:ascii="宋体" w:hAnsi="宋体" w:cs="Times New Roman"/>
                <w:sz w:val="21"/>
                <w:szCs w:val="21"/>
              </w:rPr>
              <w:t>、</w:t>
            </w:r>
            <w:r>
              <w:rPr>
                <w:rFonts w:hint="eastAsia" w:ascii="宋体" w:hAnsi="宋体" w:cs="Times New Roman"/>
                <w:sz w:val="21"/>
                <w:szCs w:val="21"/>
                <w:lang w:val="en-US" w:eastAsia="zh-CN"/>
              </w:rPr>
              <w:t>计量部、财务部</w:t>
            </w:r>
            <w:r>
              <w:rPr>
                <w:rFonts w:hint="eastAsia" w:ascii="宋体" w:hAnsi="宋体"/>
                <w:szCs w:val="21"/>
              </w:rPr>
              <w:t>。</w:t>
            </w:r>
          </w:p>
          <w:p>
            <w:pPr>
              <w:spacing w:line="360" w:lineRule="auto"/>
              <w:jc w:val="left"/>
              <w:rPr>
                <w:color w:val="000000"/>
                <w:szCs w:val="21"/>
              </w:rPr>
            </w:pPr>
            <w:r>
              <w:rPr>
                <w:rFonts w:hint="eastAsia" w:ascii="宋体" w:hAnsi="宋体"/>
                <w:szCs w:val="21"/>
              </w:rPr>
              <w:t>组织</w:t>
            </w:r>
            <w:r>
              <w:rPr>
                <w:rFonts w:hint="eastAsia" w:ascii="宋体" w:hAnsi="宋体"/>
                <w:szCs w:val="21"/>
                <w:lang w:val="en-US" w:eastAsia="zh-CN"/>
              </w:rPr>
              <w:t>机构</w:t>
            </w:r>
            <w:r>
              <w:rPr>
                <w:rFonts w:hint="eastAsia" w:ascii="宋体" w:hAnsi="宋体"/>
                <w:szCs w:val="21"/>
              </w:rPr>
              <w:t>实际与管理体系文件描述的</w:t>
            </w:r>
            <w:r>
              <w:rPr>
                <w:rFonts w:hint="eastAsia" w:ascii="宋体" w:hAnsi="宋体"/>
                <w:szCs w:val="21"/>
                <w:lang w:val="en-US" w:eastAsia="zh-CN"/>
              </w:rPr>
              <w:t>不</w:t>
            </w:r>
            <w:r>
              <w:rPr>
                <w:rFonts w:hint="eastAsia" w:ascii="宋体" w:hAnsi="宋体"/>
                <w:szCs w:val="21"/>
              </w:rPr>
              <w:t>一致性</w:t>
            </w:r>
            <w:r>
              <w:rPr>
                <w:rFonts w:hint="eastAsia" w:ascii="宋体" w:hAnsi="宋体"/>
                <w:szCs w:val="21"/>
                <w:lang w:eastAsia="zh-CN"/>
              </w:rPr>
              <w:t>，</w:t>
            </w:r>
            <w:r>
              <w:rPr>
                <w:rFonts w:hint="eastAsia" w:ascii="宋体" w:hAnsi="宋体"/>
                <w:szCs w:val="21"/>
                <w:lang w:val="en-US" w:eastAsia="zh-CN"/>
              </w:rPr>
              <w:t>已改正。</w:t>
            </w:r>
          </w:p>
          <w:p>
            <w:pPr>
              <w:spacing w:line="360" w:lineRule="auto"/>
              <w:jc w:val="left"/>
              <w:rPr>
                <w:rFonts w:hint="eastAsia" w:ascii="宋体" w:hAnsi="宋体" w:eastAsia="宋体" w:cs="Times New Roman"/>
                <w:szCs w:val="21"/>
              </w:rPr>
            </w:pPr>
          </w:p>
        </w:tc>
        <w:tc>
          <w:tcPr>
            <w:tcW w:w="709" w:type="dxa"/>
            <w:vAlign w:val="center"/>
          </w:tcPr>
          <w:p>
            <w:pPr>
              <w:widowControl/>
              <w:spacing w:line="360" w:lineRule="auto"/>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2160" w:type="dxa"/>
            <w:vAlign w:val="center"/>
          </w:tcPr>
          <w:p>
            <w:pPr>
              <w:spacing w:line="360" w:lineRule="auto"/>
              <w:rPr>
                <w:szCs w:val="21"/>
              </w:rPr>
            </w:pPr>
            <w:r>
              <w:rPr>
                <w:rFonts w:hint="eastAsia" w:ascii="宋体" w:hAnsi="宋体"/>
                <w:szCs w:val="21"/>
              </w:rPr>
              <w:t>审核范围的确认</w:t>
            </w:r>
          </w:p>
          <w:p>
            <w:pPr>
              <w:spacing w:line="360" w:lineRule="auto"/>
              <w:rPr>
                <w:rFonts w:hint="eastAsia" w:ascii="宋体" w:hAnsi="宋体"/>
                <w:szCs w:val="21"/>
              </w:rPr>
            </w:pPr>
          </w:p>
        </w:tc>
        <w:tc>
          <w:tcPr>
            <w:tcW w:w="960" w:type="dxa"/>
            <w:vAlign w:val="center"/>
          </w:tcPr>
          <w:p>
            <w:pPr>
              <w:widowControl/>
              <w:spacing w:line="360" w:lineRule="auto"/>
              <w:jc w:val="left"/>
              <w:rPr>
                <w:szCs w:val="21"/>
              </w:rPr>
            </w:pPr>
          </w:p>
        </w:tc>
        <w:tc>
          <w:tcPr>
            <w:tcW w:w="10880" w:type="dxa"/>
            <w:vAlign w:val="center"/>
          </w:tcPr>
          <w:p>
            <w:pPr>
              <w:spacing w:line="360" w:lineRule="auto"/>
              <w:jc w:val="left"/>
              <w:rPr>
                <w:rFonts w:hint="eastAsia"/>
              </w:rPr>
            </w:pPr>
            <w:r>
              <w:rPr>
                <w:rFonts w:hint="eastAsia"/>
              </w:rPr>
              <w:t>现场确认范围</w:t>
            </w:r>
          </w:p>
          <w:p>
            <w:pPr>
              <w:spacing w:line="360" w:lineRule="auto"/>
              <w:jc w:val="left"/>
              <w:rPr>
                <w:rFonts w:hint="eastAsia" w:ascii="Times New Roman" w:hAnsi="Times New Roman" w:eastAsia="宋体" w:cs="Times New Roman"/>
                <w:szCs w:val="22"/>
              </w:rPr>
            </w:pPr>
            <w:bookmarkStart w:id="0" w:name="审核范围"/>
            <w:r>
              <w:rPr>
                <w:rFonts w:hint="eastAsia" w:ascii="Times New Roman" w:hAnsi="Times New Roman" w:eastAsia="宋体" w:cs="Times New Roman"/>
                <w:szCs w:val="22"/>
              </w:rPr>
              <w:t>Q：</w:t>
            </w:r>
            <w:r>
              <w:rPr>
                <w:rFonts w:hint="eastAsia" w:cs="Times New Roman"/>
                <w:szCs w:val="22"/>
                <w:lang w:eastAsia="zh-CN"/>
              </w:rPr>
              <w:t>计量器具的检定、校准、技术咨询及服务；仪器仪表的维护</w:t>
            </w:r>
          </w:p>
          <w:p>
            <w:pPr>
              <w:spacing w:line="360" w:lineRule="auto"/>
              <w:jc w:val="left"/>
              <w:rPr>
                <w:rFonts w:hint="eastAsia" w:ascii="Times New Roman" w:hAnsi="Times New Roman" w:eastAsia="宋体" w:cs="Times New Roman"/>
                <w:szCs w:val="22"/>
              </w:rPr>
            </w:pPr>
            <w:r>
              <w:rPr>
                <w:rFonts w:hint="eastAsia" w:ascii="Times New Roman" w:hAnsi="Times New Roman" w:eastAsia="宋体" w:cs="Times New Roman"/>
                <w:szCs w:val="22"/>
              </w:rPr>
              <w:t>E：计量器具的检定、校准、技术咨询及服务；仪器仪表的维护所涉及场所的相关环境管理活动</w:t>
            </w:r>
          </w:p>
          <w:p>
            <w:pPr>
              <w:spacing w:line="360" w:lineRule="auto"/>
              <w:jc w:val="left"/>
              <w:rPr>
                <w:rFonts w:hint="eastAsia" w:ascii="Times New Roman" w:hAnsi="Times New Roman" w:eastAsia="宋体" w:cs="Times New Roman"/>
                <w:szCs w:val="22"/>
                <w:lang w:eastAsia="zh-CN"/>
              </w:rPr>
            </w:pPr>
            <w:r>
              <w:rPr>
                <w:rFonts w:hint="eastAsia" w:ascii="Times New Roman" w:hAnsi="Times New Roman" w:eastAsia="宋体" w:cs="Times New Roman"/>
                <w:szCs w:val="22"/>
              </w:rPr>
              <w:t>O：计量器具的检定、校准、技术咨询及服务；仪器仪表的维护所涉及场所的相关职业健康安全管理活动</w:t>
            </w:r>
            <w:bookmarkEnd w:id="0"/>
          </w:p>
          <w:p>
            <w:pPr>
              <w:spacing w:line="360" w:lineRule="auto"/>
              <w:jc w:val="left"/>
              <w:rPr>
                <w:rFonts w:hint="default" w:ascii="Times New Roman" w:hAnsi="Times New Roman" w:eastAsia="宋体" w:cs="Times New Roman"/>
                <w:szCs w:val="22"/>
                <w:lang w:val="en-US" w:eastAsia="zh-CN"/>
              </w:rPr>
            </w:pPr>
            <w:r>
              <w:rPr>
                <w:rFonts w:hint="eastAsia" w:cs="Times New Roman"/>
                <w:szCs w:val="22"/>
                <w:lang w:val="en-US" w:eastAsia="zh-CN"/>
              </w:rPr>
              <w:t>删减8</w:t>
            </w:r>
            <w:r>
              <w:rPr>
                <w:rFonts w:hint="eastAsia" w:ascii="Times New Roman" w:hAnsi="Times New Roman" w:eastAsia="宋体" w:cs="Times New Roman"/>
                <w:szCs w:val="22"/>
                <w:lang w:val="en-US" w:eastAsia="zh-CN"/>
              </w:rPr>
              <w:t>.3条款：企业计量服务程序使用国家行业标准，不参与自行开发计量规程规范，删除8.3条款。</w:t>
            </w:r>
          </w:p>
          <w:p>
            <w:pPr>
              <w:pStyle w:val="2"/>
              <w:spacing w:line="360" w:lineRule="auto"/>
              <w:rPr>
                <w:rFonts w:hint="default"/>
                <w:lang w:val="en-US" w:eastAsia="zh-CN"/>
              </w:rPr>
            </w:pPr>
            <w:r>
              <w:rPr>
                <w:rFonts w:hint="eastAsia"/>
                <w:lang w:val="en-US" w:eastAsia="zh-CN"/>
              </w:rPr>
              <w:t>有外包：无</w:t>
            </w:r>
          </w:p>
        </w:tc>
        <w:tc>
          <w:tcPr>
            <w:tcW w:w="709" w:type="dxa"/>
            <w:vAlign w:val="center"/>
          </w:tcPr>
          <w:p>
            <w:pPr>
              <w:widowControl/>
              <w:spacing w:line="360" w:lineRule="auto"/>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2160" w:type="dxa"/>
            <w:vAlign w:val="center"/>
          </w:tcPr>
          <w:p>
            <w:pPr>
              <w:spacing w:line="360" w:lineRule="auto"/>
              <w:rPr>
                <w:szCs w:val="21"/>
              </w:rPr>
            </w:pPr>
            <w:r>
              <w:rPr>
                <w:rFonts w:hint="eastAsia"/>
                <w:szCs w:val="21"/>
              </w:rPr>
              <w:t>风险和机遇的识别、企业内外部环境分析及相关方的需求和知识</w:t>
            </w:r>
          </w:p>
        </w:tc>
        <w:tc>
          <w:tcPr>
            <w:tcW w:w="960" w:type="dxa"/>
            <w:vAlign w:val="center"/>
          </w:tcPr>
          <w:p>
            <w:pPr>
              <w:widowControl/>
              <w:spacing w:line="360" w:lineRule="auto"/>
              <w:jc w:val="left"/>
              <w:rPr>
                <w:szCs w:val="21"/>
              </w:rPr>
            </w:pPr>
          </w:p>
        </w:tc>
        <w:tc>
          <w:tcPr>
            <w:tcW w:w="10880" w:type="dxa"/>
            <w:vAlign w:val="center"/>
          </w:tcPr>
          <w:p>
            <w:pPr>
              <w:spacing w:line="360" w:lineRule="auto"/>
              <w:rPr>
                <w:szCs w:val="21"/>
              </w:rPr>
            </w:pPr>
            <w:r>
              <w:rPr>
                <w:rFonts w:hint="eastAsia"/>
                <w:szCs w:val="21"/>
              </w:rPr>
              <w:t>公司制定管理手册中，明确风险和机遇事件的识别方法</w:t>
            </w:r>
            <w:r>
              <w:rPr>
                <w:szCs w:val="21"/>
              </w:rPr>
              <w:t>/</w:t>
            </w:r>
            <w:r>
              <w:rPr>
                <w:rFonts w:hint="eastAsia"/>
                <w:szCs w:val="21"/>
              </w:rPr>
              <w:t>途径、风险和机遇事件的评估方式、制定主要风险和机遇事件的应对措施的要求、评价这些措施有效性的方法。</w:t>
            </w:r>
          </w:p>
          <w:p>
            <w:pPr>
              <w:spacing w:line="360" w:lineRule="auto"/>
              <w:ind w:firstLine="420" w:firstLineChars="200"/>
              <w:rPr>
                <w:rFonts w:hint="eastAsia"/>
                <w:szCs w:val="21"/>
                <w:lang w:val="en-US" w:eastAsia="zh-CN"/>
              </w:rPr>
            </w:pPr>
            <w:r>
              <w:rPr>
                <w:rFonts w:hint="eastAsia"/>
                <w:szCs w:val="21"/>
              </w:rPr>
              <w:t>制定了</w:t>
            </w:r>
            <w:r>
              <w:rPr>
                <w:rFonts w:hint="eastAsia"/>
                <w:szCs w:val="21"/>
                <w:lang w:eastAsia="zh-CN"/>
              </w:rPr>
              <w:t>“</w:t>
            </w:r>
            <w:r>
              <w:rPr>
                <w:rFonts w:hint="eastAsia"/>
                <w:szCs w:val="21"/>
              </w:rPr>
              <w:t>风险和机遇分析、评价和应对措施的确定程序</w:t>
            </w:r>
            <w:r>
              <w:rPr>
                <w:rFonts w:hint="eastAsia"/>
                <w:szCs w:val="21"/>
                <w:lang w:eastAsia="zh-CN"/>
              </w:rPr>
              <w:t>”</w:t>
            </w:r>
            <w:r>
              <w:rPr>
                <w:rFonts w:hint="eastAsia"/>
                <w:szCs w:val="21"/>
              </w:rPr>
              <w:t>，提供“风险与机遇评价与应对策划表”，按照</w:t>
            </w:r>
            <w:r>
              <w:rPr>
                <w:rFonts w:hint="eastAsia"/>
                <w:szCs w:val="21"/>
                <w:lang w:val="en-US" w:eastAsia="zh-CN"/>
              </w:rPr>
              <w:t>施工、</w:t>
            </w:r>
            <w:r>
              <w:rPr>
                <w:rFonts w:hint="eastAsia"/>
                <w:szCs w:val="21"/>
              </w:rPr>
              <w:t>销售、采购、支持过程</w:t>
            </w:r>
            <w:r>
              <w:rPr>
                <w:szCs w:val="21"/>
              </w:rPr>
              <w:t>/</w:t>
            </w:r>
            <w:r>
              <w:rPr>
                <w:rFonts w:hint="eastAsia"/>
                <w:szCs w:val="21"/>
              </w:rPr>
              <w:t>部门对风险和机遇进行了评价识别，并制定应对措施。二阶段详查。</w:t>
            </w:r>
          </w:p>
        </w:tc>
        <w:tc>
          <w:tcPr>
            <w:tcW w:w="709" w:type="dxa"/>
            <w:vAlign w:val="center"/>
          </w:tcPr>
          <w:p>
            <w:pPr>
              <w:widowControl/>
              <w:spacing w:line="360" w:lineRule="auto"/>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rFonts w:hint="eastAsia"/>
                <w:szCs w:val="21"/>
              </w:rPr>
            </w:pPr>
            <w:r>
              <w:rPr>
                <w:rFonts w:hint="eastAsia"/>
                <w:szCs w:val="21"/>
              </w:rPr>
              <w:t>相关法律法规</w:t>
            </w:r>
          </w:p>
          <w:p>
            <w:pPr>
              <w:pStyle w:val="2"/>
              <w:spacing w:line="360" w:lineRule="auto"/>
              <w:rPr>
                <w:rFonts w:hint="default" w:eastAsia="宋体"/>
                <w:lang w:val="en-US" w:eastAsia="zh-CN"/>
              </w:rPr>
            </w:pPr>
            <w:r>
              <w:rPr>
                <w:rFonts w:hint="eastAsia"/>
                <w:szCs w:val="21"/>
                <w:lang w:val="en-US" w:eastAsia="zh-CN"/>
              </w:rPr>
              <w:t>合规性评价</w:t>
            </w:r>
          </w:p>
          <w:p>
            <w:pPr>
              <w:spacing w:line="360" w:lineRule="auto"/>
              <w:rPr>
                <w:rFonts w:hint="eastAsia"/>
                <w:szCs w:val="21"/>
              </w:rPr>
            </w:pPr>
          </w:p>
        </w:tc>
        <w:tc>
          <w:tcPr>
            <w:tcW w:w="960" w:type="dxa"/>
            <w:vAlign w:val="center"/>
          </w:tcPr>
          <w:p>
            <w:pPr>
              <w:widowControl/>
              <w:spacing w:line="360" w:lineRule="auto"/>
              <w:jc w:val="left"/>
              <w:rPr>
                <w:szCs w:val="21"/>
              </w:rPr>
            </w:pPr>
          </w:p>
        </w:tc>
        <w:tc>
          <w:tcPr>
            <w:tcW w:w="10880" w:type="dxa"/>
            <w:vAlign w:val="center"/>
          </w:tcPr>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综合办公室</w:t>
            </w:r>
            <w:r>
              <w:rPr>
                <w:rFonts w:hint="eastAsia" w:ascii="Times New Roman" w:hAnsi="Times New Roman" w:eastAsia="宋体" w:cs="Times New Roman"/>
                <w:szCs w:val="21"/>
              </w:rPr>
              <w:t>负责法律法规的收集、更新；查有《法律、法规及其他要求清单》，对本公司环境和职业健康安全管理体系适用的法律法规和当地政府、行业要求进行了识别，包括环境质量标准、排放标准、职业健康安全卫生标准等。收集技术标准</w:t>
            </w:r>
            <w:r>
              <w:rPr>
                <w:rFonts w:hint="eastAsia" w:ascii="Times New Roman" w:hAnsi="Times New Roman" w:eastAsia="宋体" w:cs="Times New Roman"/>
                <w:szCs w:val="21"/>
                <w:lang w:eastAsia="zh-CN"/>
              </w:rPr>
              <w:t>、</w:t>
            </w:r>
            <w:r>
              <w:rPr>
                <w:rFonts w:hint="eastAsia" w:cs="Times New Roman"/>
                <w:szCs w:val="21"/>
                <w:lang w:val="en-US" w:eastAsia="zh-CN"/>
              </w:rPr>
              <w:t>油田相关</w:t>
            </w:r>
            <w:r>
              <w:rPr>
                <w:rFonts w:hint="eastAsia" w:ascii="Times New Roman" w:hAnsi="Times New Roman" w:eastAsia="宋体" w:cs="Times New Roman"/>
                <w:szCs w:val="21"/>
              </w:rPr>
              <w:t>管理规范、</w:t>
            </w:r>
            <w:r>
              <w:rPr>
                <w:rFonts w:hint="eastAsia" w:cs="Times New Roman"/>
                <w:szCs w:val="21"/>
                <w:lang w:val="en-US" w:eastAsia="zh-CN"/>
              </w:rPr>
              <w:t>油田相关</w:t>
            </w:r>
            <w:r>
              <w:rPr>
                <w:rFonts w:hint="eastAsia" w:ascii="Times New Roman" w:hAnsi="Times New Roman" w:eastAsia="宋体" w:cs="Times New Roman"/>
                <w:szCs w:val="21"/>
              </w:rPr>
              <w:t>技术规程、检测验收规范，职业健康安全法规、环保施工标准……</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有《合规义务管理制度》，规定明确基本合理。</w:t>
            </w:r>
            <w:r>
              <w:rPr>
                <w:rFonts w:hint="eastAsia" w:ascii="Times New Roman" w:hAnsi="Times New Roman" w:eastAsia="宋体" w:cs="Times New Roman"/>
                <w:szCs w:val="21"/>
                <w:lang w:eastAsia="zh-CN"/>
              </w:rPr>
              <w:t>综合部</w:t>
            </w:r>
            <w:r>
              <w:rPr>
                <w:rFonts w:hint="eastAsia" w:ascii="Times New Roman" w:hAnsi="Times New Roman" w:eastAsia="宋体" w:cs="Times New Roman"/>
                <w:szCs w:val="21"/>
              </w:rPr>
              <w:t>组织对公司环境安全健康管理活动，遵守相关法律法规和其他要求情况进行评价，评价结果符合相关法律法规和其他要求，无违法违规情况并保持有合规性评价记录。</w:t>
            </w:r>
          </w:p>
          <w:p>
            <w:pPr>
              <w:spacing w:line="360" w:lineRule="auto"/>
              <w:ind w:firstLine="420" w:firstLineChars="200"/>
              <w:rPr>
                <w:rFonts w:hint="eastAsia"/>
                <w:szCs w:val="21"/>
              </w:rPr>
            </w:pPr>
            <w:r>
              <w:rPr>
                <w:rFonts w:hint="eastAsia" w:ascii="Times New Roman" w:hAnsi="Times New Roman" w:eastAsia="宋体" w:cs="Times New Roman"/>
                <w:szCs w:val="21"/>
              </w:rPr>
              <w:t>见《合规性评价报告》，详见二阶段。</w:t>
            </w:r>
          </w:p>
        </w:tc>
        <w:tc>
          <w:tcPr>
            <w:tcW w:w="709" w:type="dxa"/>
            <w:vAlign w:val="center"/>
          </w:tcPr>
          <w:p>
            <w:pPr>
              <w:widowControl/>
              <w:spacing w:line="360" w:lineRule="auto"/>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rFonts w:hint="eastAsia"/>
                <w:szCs w:val="21"/>
              </w:rPr>
            </w:pPr>
            <w:r>
              <w:rPr>
                <w:rFonts w:hint="eastAsia"/>
                <w:szCs w:val="21"/>
              </w:rPr>
              <w:t>环评报告及环评验收</w:t>
            </w:r>
          </w:p>
        </w:tc>
        <w:tc>
          <w:tcPr>
            <w:tcW w:w="960" w:type="dxa"/>
            <w:vAlign w:val="center"/>
          </w:tcPr>
          <w:p>
            <w:pPr>
              <w:widowControl/>
              <w:spacing w:line="360" w:lineRule="auto"/>
              <w:jc w:val="left"/>
              <w:rPr>
                <w:szCs w:val="21"/>
              </w:rPr>
            </w:pPr>
          </w:p>
        </w:tc>
        <w:tc>
          <w:tcPr>
            <w:tcW w:w="10880" w:type="dxa"/>
            <w:vAlign w:val="center"/>
          </w:tcPr>
          <w:p>
            <w:pPr>
              <w:pStyle w:val="2"/>
              <w:spacing w:line="360" w:lineRule="auto"/>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不需要</w:t>
            </w:r>
          </w:p>
        </w:tc>
        <w:tc>
          <w:tcPr>
            <w:tcW w:w="709" w:type="dxa"/>
            <w:vAlign w:val="center"/>
          </w:tcPr>
          <w:p>
            <w:pPr>
              <w:widowControl/>
              <w:spacing w:line="360" w:lineRule="auto"/>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szCs w:val="21"/>
              </w:rPr>
            </w:pPr>
            <w:r>
              <w:rPr>
                <w:rFonts w:hint="eastAsia"/>
                <w:szCs w:val="21"/>
              </w:rPr>
              <w:t>产品实现主要工艺</w:t>
            </w:r>
          </w:p>
          <w:p>
            <w:pPr>
              <w:spacing w:line="360" w:lineRule="auto"/>
              <w:rPr>
                <w:rFonts w:hint="eastAsia"/>
                <w:szCs w:val="21"/>
              </w:rPr>
            </w:pPr>
          </w:p>
        </w:tc>
        <w:tc>
          <w:tcPr>
            <w:tcW w:w="960" w:type="dxa"/>
            <w:vAlign w:val="center"/>
          </w:tcPr>
          <w:p>
            <w:pPr>
              <w:widowControl/>
              <w:spacing w:line="360" w:lineRule="auto"/>
              <w:jc w:val="left"/>
              <w:rPr>
                <w:szCs w:val="21"/>
              </w:rPr>
            </w:pPr>
          </w:p>
        </w:tc>
        <w:tc>
          <w:tcPr>
            <w:tcW w:w="10880" w:type="dxa"/>
            <w:vAlign w:val="center"/>
          </w:tcPr>
          <w:p>
            <w:pPr>
              <w:spacing w:line="360" w:lineRule="auto"/>
              <w:ind w:firstLine="420" w:firstLineChars="200"/>
              <w:rPr>
                <w:rFonts w:hint="eastAsia" w:ascii="Times New Roman" w:hAnsi="Times New Roman" w:eastAsia="宋体" w:cs="Times New Roman"/>
                <w:szCs w:val="21"/>
                <w:lang w:val="en-US" w:eastAsia="zh-CN"/>
              </w:rPr>
            </w:pPr>
            <w:bookmarkStart w:id="1" w:name="_GoBack"/>
            <w:bookmarkEnd w:id="1"/>
            <w:r>
              <w:rPr>
                <w:rFonts w:hint="eastAsia" w:ascii="Times New Roman" w:hAnsi="Times New Roman" w:eastAsia="宋体" w:cs="Times New Roman"/>
                <w:szCs w:val="21"/>
                <w:lang w:val="en-US" w:eastAsia="zh-CN"/>
              </w:rPr>
              <w:t>计量器具的检定、校准、技术咨询及服务；仪器仪表的维护。</w:t>
            </w:r>
          </w:p>
          <w:p>
            <w:pPr>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计量器具的检定、校准、维护流程：签订并分配委托单-领取样品-确认送样单-检定、校准-核验/审核/审批-打印证书-客户缴费-领走证书、器具</w:t>
            </w:r>
          </w:p>
          <w:p>
            <w:pPr>
              <w:spacing w:line="360" w:lineRule="auto"/>
              <w:ind w:firstLine="420" w:firstLineChars="200"/>
              <w:rPr>
                <w:rFonts w:hint="default" w:ascii="Times New Roman" w:hAnsi="Times New Roman" w:cs="Times New Roman"/>
                <w:szCs w:val="22"/>
                <w:lang w:val="en-US" w:eastAsia="zh-CN"/>
              </w:rPr>
            </w:pPr>
            <w:r>
              <w:rPr>
                <w:rFonts w:hint="eastAsia" w:ascii="Times New Roman" w:hAnsi="Times New Roman" w:eastAsia="宋体" w:cs="Times New Roman"/>
                <w:szCs w:val="21"/>
                <w:lang w:val="en-US" w:eastAsia="zh-CN"/>
              </w:rPr>
              <w:t>技术咨询及服务流程：用户提出要求→分析要求→报价、拟合同→制定产品指标、产品标准→完善技术文件→提交审核</w:t>
            </w:r>
          </w:p>
        </w:tc>
        <w:tc>
          <w:tcPr>
            <w:tcW w:w="709" w:type="dxa"/>
            <w:vAlign w:val="center"/>
          </w:tcPr>
          <w:p>
            <w:pPr>
              <w:widowControl/>
              <w:spacing w:line="360" w:lineRule="auto"/>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szCs w:val="21"/>
              </w:rPr>
            </w:pPr>
            <w:r>
              <w:rPr>
                <w:rFonts w:hint="eastAsia"/>
                <w:szCs w:val="21"/>
              </w:rPr>
              <w:t>方针、目标、指标和方案情况</w:t>
            </w:r>
          </w:p>
          <w:p>
            <w:pPr>
              <w:spacing w:line="360" w:lineRule="auto"/>
              <w:rPr>
                <w:rFonts w:hint="eastAsia"/>
                <w:szCs w:val="21"/>
              </w:rPr>
            </w:pPr>
          </w:p>
        </w:tc>
        <w:tc>
          <w:tcPr>
            <w:tcW w:w="960" w:type="dxa"/>
            <w:vAlign w:val="center"/>
          </w:tcPr>
          <w:p>
            <w:pPr>
              <w:widowControl/>
              <w:spacing w:line="360" w:lineRule="auto"/>
              <w:jc w:val="left"/>
              <w:rPr>
                <w:szCs w:val="21"/>
              </w:rPr>
            </w:pPr>
          </w:p>
        </w:tc>
        <w:tc>
          <w:tcPr>
            <w:tcW w:w="10880" w:type="dxa"/>
            <w:vAlign w:val="center"/>
          </w:tcPr>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 xml:space="preserve">质量、环境、职业健康安全方针是： </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顾客至上、优质高效；保护环境、减污降噪；以人为本、安全生产；遵纪守法、持续改进；提高素质、构建和谐；一、质量目标</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1) 检定、校准服务合格率100%;</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2）顾客满意度≥90%；</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二、环境目标</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1）</w:t>
            </w:r>
            <w:r>
              <w:rPr>
                <w:rFonts w:hint="eastAsia" w:ascii="Times New Roman" w:hAnsi="Times New Roman" w:eastAsia="宋体" w:cs="Times New Roman"/>
                <w:szCs w:val="22"/>
              </w:rPr>
              <w:t>固废合理分类为100%；</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2）</w:t>
            </w:r>
            <w:r>
              <w:rPr>
                <w:rFonts w:hint="eastAsia" w:ascii="Times New Roman" w:hAnsi="Times New Roman" w:eastAsia="宋体" w:cs="Times New Roman"/>
                <w:szCs w:val="22"/>
              </w:rPr>
              <w:t>火灾事故为0。</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三、</w:t>
            </w:r>
            <w:r>
              <w:rPr>
                <w:rFonts w:hint="eastAsia" w:ascii="Times New Roman" w:hAnsi="Times New Roman" w:eastAsia="宋体" w:cs="Times New Roman"/>
                <w:szCs w:val="22"/>
              </w:rPr>
              <w:t>职业健康安全目标</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1</w:t>
            </w:r>
            <w:r>
              <w:rPr>
                <w:rFonts w:hint="eastAsia" w:ascii="Times New Roman" w:hAnsi="Times New Roman" w:eastAsia="宋体" w:cs="Times New Roman"/>
                <w:szCs w:val="22"/>
              </w:rPr>
              <w:t>意外伤害事故为0；</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2）火灾事故为0；</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查《目标考核表》20</w:t>
            </w:r>
            <w:r>
              <w:rPr>
                <w:rFonts w:hint="eastAsia" w:ascii="Times New Roman" w:hAnsi="Times New Roman" w:eastAsia="宋体" w:cs="Times New Roman"/>
                <w:szCs w:val="22"/>
                <w:lang w:val="en-US" w:eastAsia="zh-CN"/>
              </w:rPr>
              <w:t>21</w:t>
            </w:r>
            <w:r>
              <w:rPr>
                <w:rFonts w:hint="eastAsia" w:ascii="Times New Roman" w:hAnsi="Times New Roman" w:eastAsia="宋体" w:cs="Times New Roman"/>
                <w:szCs w:val="22"/>
              </w:rPr>
              <w:t>年</w:t>
            </w:r>
            <w:r>
              <w:rPr>
                <w:rFonts w:hint="eastAsia" w:ascii="Times New Roman" w:hAnsi="Times New Roman" w:eastAsia="宋体" w:cs="Times New Roman"/>
                <w:szCs w:val="22"/>
                <w:lang w:val="en-US" w:eastAsia="zh-CN"/>
              </w:rPr>
              <w:t>1</w:t>
            </w:r>
            <w:r>
              <w:rPr>
                <w:rFonts w:hint="eastAsia" w:ascii="Times New Roman" w:hAnsi="Times New Roman" w:eastAsia="宋体" w:cs="Times New Roman"/>
                <w:szCs w:val="22"/>
              </w:rPr>
              <w:t>月</w:t>
            </w:r>
            <w:r>
              <w:rPr>
                <w:rFonts w:hint="eastAsia" w:ascii="Times New Roman" w:hAnsi="Times New Roman" w:eastAsia="宋体" w:cs="Times New Roman"/>
                <w:szCs w:val="22"/>
                <w:lang w:val="en-US" w:eastAsia="zh-CN"/>
              </w:rPr>
              <w:t>4日</w:t>
            </w:r>
            <w:r>
              <w:rPr>
                <w:rFonts w:hint="eastAsia" w:ascii="Times New Roman" w:hAnsi="Times New Roman" w:eastAsia="宋体" w:cs="Times New Roman"/>
                <w:szCs w:val="22"/>
              </w:rPr>
              <w:t>，对目标进行考核，均达到目标，</w:t>
            </w:r>
          </w:p>
          <w:p>
            <w:pPr>
              <w:spacing w:line="360" w:lineRule="auto"/>
              <w:ind w:firstLine="420" w:firstLineChars="200"/>
              <w:rPr>
                <w:rFonts w:hint="eastAsia"/>
              </w:rPr>
            </w:pPr>
            <w:r>
              <w:rPr>
                <w:rFonts w:hint="eastAsia" w:ascii="Times New Roman" w:hAnsi="Times New Roman" w:eastAsia="宋体" w:cs="Times New Roman"/>
                <w:szCs w:val="22"/>
                <w:lang w:val="en-US" w:eastAsia="zh-CN"/>
              </w:rPr>
              <w:t>《环境目标指标管理方案》和《安全目标、指标、管理方案》，环境、安全运行检查，具体详见二阶段。</w:t>
            </w:r>
          </w:p>
        </w:tc>
        <w:tc>
          <w:tcPr>
            <w:tcW w:w="709" w:type="dxa"/>
            <w:vAlign w:val="center"/>
          </w:tcPr>
          <w:p>
            <w:pPr>
              <w:widowControl/>
              <w:spacing w:line="360" w:lineRule="auto"/>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2160" w:type="dxa"/>
          </w:tcPr>
          <w:p>
            <w:pPr>
              <w:spacing w:line="360" w:lineRule="auto"/>
              <w:rPr>
                <w:color w:val="auto"/>
                <w:szCs w:val="21"/>
              </w:rPr>
            </w:pPr>
            <w:r>
              <w:rPr>
                <w:rFonts w:hint="eastAsia"/>
                <w:color w:val="auto"/>
                <w:szCs w:val="21"/>
              </w:rPr>
              <w:t>重要环境因素、</w:t>
            </w:r>
          </w:p>
          <w:p>
            <w:pPr>
              <w:spacing w:line="360" w:lineRule="auto"/>
              <w:rPr>
                <w:color w:val="auto"/>
                <w:szCs w:val="21"/>
              </w:rPr>
            </w:pPr>
            <w:r>
              <w:rPr>
                <w:rFonts w:hint="eastAsia"/>
                <w:color w:val="auto"/>
                <w:szCs w:val="21"/>
              </w:rPr>
              <w:t>不可接受危险源</w:t>
            </w:r>
          </w:p>
          <w:p>
            <w:pPr>
              <w:spacing w:line="360" w:lineRule="auto"/>
              <w:rPr>
                <w:color w:val="auto"/>
                <w:szCs w:val="21"/>
              </w:rPr>
            </w:pPr>
          </w:p>
        </w:tc>
        <w:tc>
          <w:tcPr>
            <w:tcW w:w="960" w:type="dxa"/>
          </w:tcPr>
          <w:p>
            <w:pPr>
              <w:spacing w:line="360" w:lineRule="auto"/>
              <w:rPr>
                <w:color w:val="auto"/>
                <w:szCs w:val="21"/>
              </w:rPr>
            </w:pPr>
          </w:p>
        </w:tc>
        <w:tc>
          <w:tcPr>
            <w:tcW w:w="10880" w:type="dxa"/>
          </w:tcPr>
          <w:p>
            <w:pPr>
              <w:spacing w:line="360" w:lineRule="auto"/>
              <w:rPr>
                <w:rFonts w:hint="eastAsia" w:ascii="Times New Roman" w:hAnsi="Times New Roman" w:cs="Times New Roman"/>
                <w:color w:val="auto"/>
                <w:szCs w:val="21"/>
              </w:rPr>
            </w:pPr>
            <w:r>
              <w:rPr>
                <w:rFonts w:hint="eastAsia"/>
                <w:color w:val="auto"/>
                <w:szCs w:val="21"/>
              </w:rPr>
              <w:t>编制了《环境因素的识别与评价控制程序》《危险源辩识、风险评价和风险控制策划程序》符合标准要求</w:t>
            </w:r>
            <w:r>
              <w:rPr>
                <w:color w:val="auto"/>
                <w:szCs w:val="21"/>
              </w:rPr>
              <w:t>.</w:t>
            </w:r>
            <w:r>
              <w:rPr>
                <w:rFonts w:hint="eastAsia"/>
                <w:color w:val="auto"/>
                <w:szCs w:val="21"/>
              </w:rPr>
              <w:t>提供的“环境因素识别评价表”“重要环境因素清单”，</w:t>
            </w:r>
            <w:r>
              <w:rPr>
                <w:color w:val="auto"/>
                <w:szCs w:val="21"/>
              </w:rPr>
              <w:t xml:space="preserve"> </w:t>
            </w:r>
            <w:r>
              <w:rPr>
                <w:rFonts w:hint="eastAsia"/>
                <w:color w:val="auto"/>
                <w:szCs w:val="21"/>
              </w:rPr>
              <w:t>评价考虑了三种时态现在、过去、将来、三种状态、异常、正常、紧急考虑了</w:t>
            </w:r>
            <w:r>
              <w:rPr>
                <w:rFonts w:hint="eastAsia" w:ascii="Times New Roman" w:hAnsi="Times New Roman" w:cs="Times New Roman"/>
                <w:color w:val="auto"/>
                <w:szCs w:val="21"/>
              </w:rPr>
              <w:t>法律法规，并进行了评价。对重要环境因素的控制措施包括制定管理制度、监督检查、应急预案、培训等。</w:t>
            </w:r>
          </w:p>
          <w:p>
            <w:pPr>
              <w:spacing w:line="36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查见《重要环境因素清单》，已将“</w:t>
            </w:r>
            <w:r>
              <w:rPr>
                <w:rFonts w:hint="eastAsia" w:asciiTheme="minorEastAsia" w:hAnsiTheme="minorEastAsia" w:eastAsiaTheme="minorEastAsia" w:cstheme="minorEastAsia"/>
                <w:color w:val="auto"/>
                <w:sz w:val="21"/>
                <w:szCs w:val="21"/>
                <w:lang w:val="en-US" w:eastAsia="zh-CN"/>
              </w:rPr>
              <w:t>固废、火灾</w:t>
            </w:r>
            <w:r>
              <w:rPr>
                <w:rFonts w:hint="eastAsia" w:asciiTheme="minorEastAsia" w:hAnsiTheme="minorEastAsia" w:eastAsiaTheme="minorEastAsia" w:cstheme="minorEastAsia"/>
                <w:color w:val="auto"/>
                <w:sz w:val="21"/>
                <w:szCs w:val="21"/>
              </w:rPr>
              <w:t>。”等内容列入重要环境因素</w:t>
            </w:r>
            <w:r>
              <w:rPr>
                <w:rFonts w:hint="eastAsia" w:asciiTheme="minorEastAsia" w:hAnsiTheme="minorEastAsia" w:eastAsiaTheme="minorEastAsia" w:cstheme="minorEastAsia"/>
                <w:color w:val="auto"/>
                <w:sz w:val="21"/>
                <w:szCs w:val="21"/>
                <w:lang w:eastAsia="zh-CN"/>
              </w:rPr>
              <w:t>。</w:t>
            </w:r>
          </w:p>
          <w:p>
            <w:pPr>
              <w:spacing w:line="360" w:lineRule="auto"/>
              <w:rPr>
                <w:rFonts w:hint="eastAsia" w:eastAsia="宋体"/>
                <w:color w:val="auto"/>
                <w:szCs w:val="21"/>
                <w:lang w:eastAsia="zh-CN"/>
              </w:rPr>
            </w:pPr>
            <w:r>
              <w:rPr>
                <w:rFonts w:hint="eastAsia" w:asciiTheme="minorEastAsia" w:hAnsiTheme="minorEastAsia" w:eastAsiaTheme="minorEastAsia" w:cstheme="minorEastAsia"/>
                <w:color w:val="auto"/>
                <w:sz w:val="21"/>
                <w:szCs w:val="21"/>
              </w:rPr>
              <w:t>不可接受风险有：火灾、触电等项。</w:t>
            </w:r>
            <w:r>
              <w:rPr>
                <w:rFonts w:hint="eastAsia" w:ascii="Times New Roman" w:hAnsi="Times New Roman" w:cs="Times New Roman"/>
                <w:color w:val="auto"/>
                <w:szCs w:val="21"/>
              </w:rPr>
              <w:t>二阶段进行进一步关注</w:t>
            </w:r>
            <w:r>
              <w:rPr>
                <w:rFonts w:hint="eastAsia" w:cs="Times New Roman"/>
                <w:color w:val="auto"/>
                <w:szCs w:val="21"/>
                <w:lang w:eastAsia="zh-CN"/>
              </w:rPr>
              <w:t>。</w:t>
            </w:r>
          </w:p>
        </w:tc>
        <w:tc>
          <w:tcPr>
            <w:tcW w:w="709" w:type="dxa"/>
          </w:tcPr>
          <w:p>
            <w:pPr>
              <w:pStyle w:val="2"/>
              <w:spacing w:line="360" w:lineRule="auto"/>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2160" w:type="dxa"/>
          </w:tcPr>
          <w:p>
            <w:pPr>
              <w:spacing w:line="360" w:lineRule="auto"/>
              <w:rPr>
                <w:color w:val="auto"/>
                <w:szCs w:val="21"/>
              </w:rPr>
            </w:pPr>
            <w:r>
              <w:rPr>
                <w:rFonts w:hint="eastAsia"/>
                <w:color w:val="auto"/>
                <w:szCs w:val="21"/>
              </w:rPr>
              <w:t>内审情况</w:t>
            </w:r>
          </w:p>
          <w:p>
            <w:pPr>
              <w:spacing w:line="360" w:lineRule="auto"/>
              <w:rPr>
                <w:color w:val="auto"/>
                <w:szCs w:val="21"/>
              </w:rPr>
            </w:pPr>
            <w:r>
              <w:rPr>
                <w:rFonts w:hint="eastAsia"/>
                <w:color w:val="auto"/>
                <w:szCs w:val="21"/>
              </w:rPr>
              <w:t>管理评审</w:t>
            </w:r>
          </w:p>
        </w:tc>
        <w:tc>
          <w:tcPr>
            <w:tcW w:w="960" w:type="dxa"/>
          </w:tcPr>
          <w:p>
            <w:pPr>
              <w:spacing w:line="360" w:lineRule="auto"/>
              <w:rPr>
                <w:color w:val="auto"/>
                <w:szCs w:val="21"/>
              </w:rPr>
            </w:pPr>
          </w:p>
        </w:tc>
        <w:tc>
          <w:tcPr>
            <w:tcW w:w="10880" w:type="dxa"/>
          </w:tcPr>
          <w:p>
            <w:pPr>
              <w:spacing w:line="360" w:lineRule="auto"/>
              <w:rPr>
                <w:rFonts w:hint="eastAsia" w:ascii="Times New Roman" w:hAnsi="Times New Roman" w:cs="Times New Roman"/>
                <w:color w:val="auto"/>
                <w:szCs w:val="21"/>
              </w:rPr>
            </w:pPr>
            <w:r>
              <w:rPr>
                <w:rFonts w:hint="eastAsia"/>
                <w:color w:val="auto"/>
                <w:szCs w:val="21"/>
              </w:rPr>
              <w:t>公司于</w:t>
            </w:r>
            <w:r>
              <w:rPr>
                <w:rFonts w:hint="eastAsia" w:ascii="Times New Roman" w:hAnsi="Times New Roman" w:cs="Times New Roman"/>
                <w:color w:val="auto"/>
                <w:szCs w:val="21"/>
                <w:lang w:val="en-US" w:eastAsia="zh-CN"/>
              </w:rPr>
              <w:t>2020年12月8-9日</w:t>
            </w:r>
            <w:r>
              <w:rPr>
                <w:rFonts w:hint="eastAsia" w:ascii="Times New Roman" w:hAnsi="Times New Roman" w:cs="Times New Roman"/>
                <w:color w:val="auto"/>
                <w:szCs w:val="21"/>
              </w:rPr>
              <w:t>开展内部审核进行一次内审，提供了</w:t>
            </w:r>
            <w:r>
              <w:rPr>
                <w:rFonts w:hint="eastAsia" w:asciiTheme="minorEastAsia" w:hAnsiTheme="minorEastAsia" w:eastAsiaTheme="minorEastAsia" w:cstheme="minorEastAsia"/>
                <w:color w:val="auto"/>
                <w:sz w:val="21"/>
                <w:szCs w:val="21"/>
                <w:lang w:val="en-US" w:eastAsia="zh-CN"/>
              </w:rPr>
              <w:t>内审计划、内审记录、不符合报告、内审报告等，</w:t>
            </w:r>
          </w:p>
          <w:p>
            <w:pPr>
              <w:spacing w:line="360" w:lineRule="auto"/>
              <w:rPr>
                <w:rFonts w:hint="eastAsia"/>
                <w:color w:val="auto"/>
                <w:szCs w:val="21"/>
              </w:rPr>
            </w:pPr>
            <w:r>
              <w:rPr>
                <w:rFonts w:hint="eastAsia" w:ascii="Times New Roman" w:hAnsi="Times New Roman" w:cs="Times New Roman"/>
                <w:color w:val="auto"/>
                <w:szCs w:val="21"/>
              </w:rPr>
              <w:t>20</w:t>
            </w:r>
            <w:r>
              <w:rPr>
                <w:rFonts w:hint="eastAsia" w:ascii="Times New Roman" w:hAnsi="Times New Roman" w:cs="Times New Roman"/>
                <w:color w:val="auto"/>
                <w:szCs w:val="21"/>
                <w:lang w:val="en-US" w:eastAsia="zh-CN"/>
              </w:rPr>
              <w:t>20</w:t>
            </w:r>
            <w:r>
              <w:rPr>
                <w:rFonts w:hint="eastAsia" w:ascii="Times New Roman" w:hAnsi="Times New Roman" w:cs="Times New Roman"/>
                <w:color w:val="auto"/>
                <w:szCs w:val="21"/>
              </w:rPr>
              <w:t>年</w:t>
            </w:r>
            <w:r>
              <w:rPr>
                <w:rFonts w:hint="eastAsia" w:ascii="Times New Roman" w:hAnsi="Times New Roman" w:cs="Times New Roman"/>
                <w:color w:val="auto"/>
                <w:szCs w:val="21"/>
                <w:lang w:val="en-US" w:eastAsia="zh-CN"/>
              </w:rPr>
              <w:t>12</w:t>
            </w:r>
            <w:r>
              <w:rPr>
                <w:rFonts w:hint="eastAsia" w:ascii="Times New Roman" w:hAnsi="Times New Roman" w:cs="Times New Roman"/>
                <w:color w:val="auto"/>
                <w:szCs w:val="21"/>
              </w:rPr>
              <w:t>月</w:t>
            </w:r>
            <w:r>
              <w:rPr>
                <w:rFonts w:hint="eastAsia" w:ascii="Times New Roman" w:hAnsi="Times New Roman" w:cs="Times New Roman"/>
                <w:color w:val="auto"/>
                <w:szCs w:val="21"/>
                <w:lang w:val="en-US" w:eastAsia="zh-CN"/>
              </w:rPr>
              <w:t>30</w:t>
            </w:r>
            <w:r>
              <w:rPr>
                <w:rFonts w:hint="eastAsia" w:ascii="Times New Roman" w:hAnsi="Times New Roman" w:cs="Times New Roman"/>
                <w:color w:val="auto"/>
                <w:szCs w:val="21"/>
              </w:rPr>
              <w:t>日召开了管理评审会议，由</w:t>
            </w:r>
            <w:r>
              <w:rPr>
                <w:rFonts w:hint="eastAsia"/>
                <w:color w:val="auto"/>
                <w:szCs w:val="21"/>
              </w:rPr>
              <w:t>总经理主持。提供管理评审报告，具体内容，二阶段进一步审核。</w:t>
            </w:r>
          </w:p>
        </w:tc>
        <w:tc>
          <w:tcPr>
            <w:tcW w:w="709" w:type="dxa"/>
          </w:tcPr>
          <w:p>
            <w:pPr>
              <w:pStyle w:val="2"/>
              <w:spacing w:line="360" w:lineRule="auto"/>
              <w:rPr>
                <w:color w:val="auto"/>
                <w:szCs w:val="21"/>
              </w:rPr>
            </w:pPr>
            <w:r>
              <w:rPr>
                <w:rFonts w:hint="eastAsia"/>
                <w:color w:val="auto"/>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160" w:type="dxa"/>
          </w:tcPr>
          <w:p>
            <w:pPr>
              <w:spacing w:line="360" w:lineRule="auto"/>
              <w:rPr>
                <w:color w:val="auto"/>
                <w:szCs w:val="21"/>
              </w:rPr>
            </w:pPr>
          </w:p>
          <w:p>
            <w:pPr>
              <w:spacing w:line="360" w:lineRule="auto"/>
              <w:rPr>
                <w:color w:val="auto"/>
                <w:szCs w:val="21"/>
              </w:rPr>
            </w:pPr>
          </w:p>
          <w:p>
            <w:pPr>
              <w:spacing w:line="360" w:lineRule="auto"/>
              <w:rPr>
                <w:color w:val="auto"/>
                <w:szCs w:val="21"/>
              </w:rPr>
            </w:pPr>
            <w:r>
              <w:rPr>
                <w:rFonts w:hint="eastAsia"/>
                <w:color w:val="auto"/>
                <w:szCs w:val="21"/>
              </w:rPr>
              <w:t>设备设施（包括信息系统）</w:t>
            </w:r>
          </w:p>
          <w:p>
            <w:pPr>
              <w:spacing w:line="360" w:lineRule="auto"/>
              <w:rPr>
                <w:color w:val="auto"/>
                <w:szCs w:val="21"/>
              </w:rPr>
            </w:pPr>
            <w:r>
              <w:rPr>
                <w:rFonts w:hint="eastAsia"/>
                <w:color w:val="auto"/>
                <w:szCs w:val="21"/>
              </w:rPr>
              <w:t>特种设备</w:t>
            </w:r>
          </w:p>
          <w:p>
            <w:pPr>
              <w:spacing w:line="360" w:lineRule="auto"/>
              <w:rPr>
                <w:color w:val="auto"/>
                <w:szCs w:val="21"/>
              </w:rPr>
            </w:pPr>
            <w:r>
              <w:rPr>
                <w:rFonts w:hint="eastAsia"/>
                <w:color w:val="auto"/>
                <w:szCs w:val="21"/>
              </w:rPr>
              <w:t>监视和测量资源</w:t>
            </w:r>
          </w:p>
          <w:p>
            <w:pPr>
              <w:spacing w:line="360" w:lineRule="auto"/>
              <w:rPr>
                <w:rFonts w:hint="eastAsia"/>
                <w:color w:val="auto"/>
                <w:szCs w:val="21"/>
              </w:rPr>
            </w:pPr>
            <w:r>
              <w:rPr>
                <w:rFonts w:hint="eastAsia"/>
                <w:color w:val="auto"/>
                <w:szCs w:val="21"/>
              </w:rPr>
              <w:t>环保、安全设施</w:t>
            </w:r>
          </w:p>
        </w:tc>
        <w:tc>
          <w:tcPr>
            <w:tcW w:w="960" w:type="dxa"/>
          </w:tcPr>
          <w:p>
            <w:pPr>
              <w:spacing w:line="360" w:lineRule="auto"/>
              <w:rPr>
                <w:color w:val="auto"/>
                <w:szCs w:val="21"/>
              </w:rPr>
            </w:pPr>
          </w:p>
        </w:tc>
        <w:tc>
          <w:tcPr>
            <w:tcW w:w="10880" w:type="dxa"/>
          </w:tcPr>
          <w:p>
            <w:pPr>
              <w:spacing w:line="360" w:lineRule="auto"/>
              <w:rPr>
                <w:rFonts w:hint="eastAsia" w:eastAsia="宋体"/>
                <w:color w:val="auto"/>
                <w:szCs w:val="21"/>
                <w:lang w:val="en-US" w:eastAsia="zh-CN"/>
              </w:rPr>
            </w:pPr>
            <w:r>
              <w:rPr>
                <w:rFonts w:hint="eastAsia"/>
                <w:color w:val="auto"/>
                <w:szCs w:val="21"/>
              </w:rPr>
              <w:t>主要设备：</w:t>
            </w:r>
            <w:r>
              <w:rPr>
                <w:rFonts w:hint="eastAsia"/>
                <w:color w:val="auto"/>
                <w:szCs w:val="21"/>
                <w:lang w:val="en-US" w:eastAsia="zh-CN"/>
              </w:rPr>
              <w:t>数字多用表、恒温油槽、精密露点仪、红外测温仪、过程校验仪、PLUK压力模块、F2等级砝码、标准金属量器、内径量表、Π尺等计量设备，办公区设备：</w:t>
            </w:r>
            <w:r>
              <w:rPr>
                <w:rFonts w:hint="eastAsia" w:cs="Times New Roman"/>
                <w:color w:val="auto"/>
                <w:szCs w:val="21"/>
                <w:lang w:val="en-US" w:eastAsia="zh-CN"/>
              </w:rPr>
              <w:t>台式计算机、笔记本、打印复印机、office办公软件</w:t>
            </w:r>
            <w:r>
              <w:rPr>
                <w:rFonts w:hint="eastAsia" w:ascii="Times New Roman" w:hAnsi="Times New Roman" w:eastAsia="宋体" w:cs="Times New Roman"/>
                <w:color w:val="auto"/>
                <w:szCs w:val="21"/>
                <w:lang w:val="en-US" w:eastAsia="zh-CN"/>
              </w:rPr>
              <w:t>等。</w:t>
            </w:r>
          </w:p>
          <w:p>
            <w:pPr>
              <w:spacing w:line="360" w:lineRule="auto"/>
              <w:rPr>
                <w:rFonts w:hint="default"/>
                <w:color w:val="auto"/>
                <w:szCs w:val="21"/>
                <w:lang w:val="en-US" w:eastAsia="zh-CN"/>
              </w:rPr>
            </w:pPr>
            <w:r>
              <w:rPr>
                <w:rFonts w:hint="eastAsia"/>
                <w:color w:val="auto"/>
                <w:szCs w:val="21"/>
                <w:lang w:val="en-US" w:eastAsia="zh-CN"/>
              </w:rPr>
              <w:t>特种设备：无</w:t>
            </w:r>
          </w:p>
          <w:p>
            <w:pPr>
              <w:spacing w:line="360" w:lineRule="auto"/>
              <w:rPr>
                <w:rFonts w:hint="eastAsia"/>
                <w:color w:val="auto"/>
                <w:szCs w:val="21"/>
                <w:lang w:eastAsia="zh-CN"/>
              </w:rPr>
            </w:pPr>
            <w:r>
              <w:rPr>
                <w:rFonts w:hint="eastAsia"/>
                <w:color w:val="auto"/>
                <w:szCs w:val="21"/>
                <w:lang w:val="en-US" w:eastAsia="zh-CN"/>
              </w:rPr>
              <w:t>见</w:t>
            </w:r>
            <w:r>
              <w:rPr>
                <w:rFonts w:hint="eastAsia"/>
                <w:color w:val="auto"/>
                <w:szCs w:val="21"/>
              </w:rPr>
              <w:t>《设备维修保养计划》、《设备维修保养记录》，运行维护基本有效</w:t>
            </w:r>
            <w:r>
              <w:rPr>
                <w:rFonts w:hint="eastAsia"/>
                <w:color w:val="auto"/>
                <w:szCs w:val="21"/>
                <w:lang w:eastAsia="zh-CN"/>
              </w:rPr>
              <w:t>。</w:t>
            </w:r>
          </w:p>
          <w:p>
            <w:pPr>
              <w:spacing w:line="360" w:lineRule="auto"/>
              <w:rPr>
                <w:rFonts w:hint="default"/>
                <w:color w:val="auto"/>
                <w:szCs w:val="21"/>
                <w:lang w:val="en-US" w:eastAsia="zh-CN"/>
              </w:rPr>
            </w:pPr>
            <w:r>
              <w:rPr>
                <w:rFonts w:hint="eastAsia"/>
                <w:color w:val="auto"/>
                <w:szCs w:val="21"/>
              </w:rPr>
              <w:t>监视和测量设备</w:t>
            </w:r>
            <w:r>
              <w:rPr>
                <w:rFonts w:hint="eastAsia"/>
                <w:color w:val="auto"/>
                <w:szCs w:val="21"/>
                <w:lang w:eastAsia="zh-CN"/>
              </w:rPr>
              <w:t>：</w:t>
            </w:r>
            <w:r>
              <w:rPr>
                <w:rFonts w:hint="eastAsia"/>
                <w:color w:val="auto"/>
                <w:szCs w:val="21"/>
                <w:lang w:val="en-US" w:eastAsia="zh-CN"/>
              </w:rPr>
              <w:t>数字多用表、恒温油槽、精密露点仪、红外测温仪、过程校验仪、PLUK压力模块、F2等级砝码、标准金属量器、内径量表、Π尺。</w:t>
            </w:r>
          </w:p>
          <w:p>
            <w:pPr>
              <w:spacing w:line="360" w:lineRule="auto"/>
              <w:rPr>
                <w:rFonts w:hint="eastAsia"/>
                <w:color w:val="auto"/>
                <w:szCs w:val="21"/>
              </w:rPr>
            </w:pPr>
            <w:r>
              <w:rPr>
                <w:rFonts w:hint="eastAsia"/>
                <w:color w:val="auto"/>
                <w:szCs w:val="21"/>
              </w:rPr>
              <w:t>环保、安全设施有：垃圾桶、</w:t>
            </w:r>
            <w:r>
              <w:rPr>
                <w:rFonts w:hint="eastAsia"/>
                <w:color w:val="auto"/>
                <w:szCs w:val="21"/>
                <w:lang w:val="en-US" w:eastAsia="zh-CN"/>
              </w:rPr>
              <w:t>消火栓</w:t>
            </w:r>
            <w:r>
              <w:rPr>
                <w:rFonts w:hint="eastAsia"/>
                <w:color w:val="auto"/>
                <w:szCs w:val="21"/>
              </w:rPr>
              <w:t>；安全设施配置主要有：灭火器、消防器材等，</w:t>
            </w:r>
            <w:r>
              <w:rPr>
                <w:rFonts w:hint="eastAsia"/>
                <w:color w:val="auto"/>
                <w:szCs w:val="21"/>
                <w:lang w:val="en-US" w:eastAsia="zh-CN"/>
              </w:rPr>
              <w:t>写字楼物业</w:t>
            </w:r>
            <w:r>
              <w:rPr>
                <w:rFonts w:hint="eastAsia"/>
                <w:color w:val="auto"/>
                <w:szCs w:val="21"/>
              </w:rPr>
              <w:t>定期维护与保养。</w:t>
            </w:r>
          </w:p>
          <w:p>
            <w:pPr>
              <w:spacing w:line="360" w:lineRule="auto"/>
              <w:rPr>
                <w:rFonts w:hint="eastAsia"/>
                <w:color w:val="auto"/>
                <w:szCs w:val="21"/>
              </w:rPr>
            </w:pPr>
            <w:r>
              <w:rPr>
                <w:rFonts w:hint="eastAsia"/>
                <w:color w:val="auto"/>
                <w:szCs w:val="21"/>
              </w:rPr>
              <w:t>二阶段进一步审核。</w:t>
            </w:r>
          </w:p>
        </w:tc>
        <w:tc>
          <w:tcPr>
            <w:tcW w:w="709" w:type="dxa"/>
          </w:tcPr>
          <w:p>
            <w:pPr>
              <w:pStyle w:val="2"/>
              <w:spacing w:line="360" w:lineRule="auto"/>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2160" w:type="dxa"/>
          </w:tcPr>
          <w:p>
            <w:pPr>
              <w:spacing w:line="360" w:lineRule="auto"/>
              <w:rPr>
                <w:color w:val="auto"/>
                <w:szCs w:val="21"/>
              </w:rPr>
            </w:pPr>
            <w:r>
              <w:rPr>
                <w:rFonts w:hint="eastAsia" w:ascii="宋体" w:hAnsi="宋体"/>
                <w:color w:val="auto"/>
                <w:szCs w:val="21"/>
              </w:rPr>
              <w:t>财务费用支出等</w:t>
            </w:r>
          </w:p>
          <w:p>
            <w:pPr>
              <w:spacing w:line="360" w:lineRule="auto"/>
              <w:rPr>
                <w:rFonts w:hint="eastAsia"/>
                <w:color w:val="auto"/>
                <w:szCs w:val="21"/>
              </w:rPr>
            </w:pPr>
          </w:p>
        </w:tc>
        <w:tc>
          <w:tcPr>
            <w:tcW w:w="960" w:type="dxa"/>
          </w:tcPr>
          <w:p>
            <w:pPr>
              <w:spacing w:line="360" w:lineRule="auto"/>
              <w:rPr>
                <w:color w:val="auto"/>
                <w:szCs w:val="21"/>
              </w:rPr>
            </w:pPr>
          </w:p>
        </w:tc>
        <w:tc>
          <w:tcPr>
            <w:tcW w:w="10880" w:type="dxa"/>
          </w:tcPr>
          <w:p>
            <w:pPr>
              <w:pStyle w:val="2"/>
              <w:spacing w:line="360" w:lineRule="auto"/>
              <w:rPr>
                <w:rFonts w:hint="eastAsia" w:ascii="宋体" w:hAnsi="宋体" w:cs="楷体_GB2312"/>
                <w:color w:val="000000" w:themeColor="text1"/>
                <w:szCs w:val="21"/>
              </w:rPr>
            </w:pPr>
            <w:r>
              <w:rPr>
                <w:rFonts w:hint="eastAsia"/>
                <w:bCs w:val="0"/>
                <w:color w:val="000000" w:themeColor="text1"/>
                <w:spacing w:val="0"/>
                <w:szCs w:val="21"/>
              </w:rPr>
              <w:t>经了解，财务投入包括</w:t>
            </w:r>
            <w:r>
              <w:rPr>
                <w:rFonts w:hint="eastAsia" w:ascii="宋体" w:hAnsi="宋体" w:cs="楷体_GB2312"/>
                <w:color w:val="000000" w:themeColor="text1"/>
                <w:szCs w:val="21"/>
              </w:rPr>
              <w:t>员工职业健康的体检费用、安全环保消防监测费用、员工劳保用品费用、防暑降温费用、员工社保的费用等，</w:t>
            </w:r>
          </w:p>
          <w:p>
            <w:pPr>
              <w:pStyle w:val="2"/>
              <w:spacing w:line="360" w:lineRule="auto"/>
              <w:rPr>
                <w:rFonts w:hint="eastAsia"/>
                <w:color w:val="auto"/>
                <w:szCs w:val="21"/>
              </w:rPr>
            </w:pPr>
            <w:r>
              <w:rPr>
                <w:rFonts w:hint="eastAsia" w:ascii="宋体" w:hAnsi="宋体" w:cs="楷体_GB2312"/>
                <w:color w:val="000000" w:themeColor="text1"/>
                <w:szCs w:val="21"/>
              </w:rPr>
              <w:t>二阶段详查</w:t>
            </w:r>
            <w:r>
              <w:rPr>
                <w:rFonts w:hint="eastAsia" w:ascii="宋体" w:hAnsi="宋体" w:cs="楷体_GB2312"/>
                <w:color w:val="FF0000"/>
                <w:szCs w:val="21"/>
              </w:rPr>
              <w:t>。</w:t>
            </w:r>
          </w:p>
        </w:tc>
        <w:tc>
          <w:tcPr>
            <w:tcW w:w="709" w:type="dxa"/>
          </w:tcPr>
          <w:p>
            <w:pPr>
              <w:pStyle w:val="2"/>
              <w:spacing w:line="360" w:lineRule="auto"/>
              <w:rPr>
                <w:color w:val="auto"/>
                <w:szCs w:val="21"/>
              </w:rPr>
            </w:pPr>
            <w:r>
              <w:rPr>
                <w:rFonts w:hint="eastAsia"/>
                <w:color w:val="auto"/>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160" w:type="dxa"/>
          </w:tcPr>
          <w:p>
            <w:pPr>
              <w:spacing w:line="360" w:lineRule="auto"/>
              <w:rPr>
                <w:color w:val="auto"/>
                <w:szCs w:val="21"/>
              </w:rPr>
            </w:pPr>
          </w:p>
          <w:p>
            <w:pPr>
              <w:spacing w:line="360" w:lineRule="auto"/>
              <w:rPr>
                <w:color w:val="auto"/>
                <w:szCs w:val="21"/>
              </w:rPr>
            </w:pPr>
            <w:r>
              <w:rPr>
                <w:rFonts w:hint="eastAsia"/>
                <w:color w:val="auto"/>
              </w:rPr>
              <w:t>应急预案及演习</w:t>
            </w:r>
          </w:p>
          <w:p>
            <w:pPr>
              <w:spacing w:line="360" w:lineRule="auto"/>
              <w:rPr>
                <w:color w:val="auto"/>
                <w:szCs w:val="21"/>
              </w:rPr>
            </w:pPr>
            <w:r>
              <w:rPr>
                <w:rFonts w:hint="eastAsia"/>
                <w:color w:val="auto"/>
                <w:szCs w:val="21"/>
              </w:rPr>
              <w:t>现场观察</w:t>
            </w:r>
          </w:p>
          <w:p>
            <w:pPr>
              <w:spacing w:line="360" w:lineRule="auto"/>
              <w:rPr>
                <w:color w:val="auto"/>
                <w:szCs w:val="21"/>
              </w:rPr>
            </w:pPr>
          </w:p>
        </w:tc>
        <w:tc>
          <w:tcPr>
            <w:tcW w:w="960" w:type="dxa"/>
          </w:tcPr>
          <w:p>
            <w:pPr>
              <w:spacing w:line="360" w:lineRule="auto"/>
              <w:rPr>
                <w:color w:val="auto"/>
                <w:szCs w:val="21"/>
              </w:rPr>
            </w:pPr>
          </w:p>
        </w:tc>
        <w:tc>
          <w:tcPr>
            <w:tcW w:w="10880" w:type="dxa"/>
          </w:tcPr>
          <w:p>
            <w:pPr>
              <w:spacing w:line="360" w:lineRule="auto"/>
              <w:rPr>
                <w:bCs w:val="0"/>
                <w:color w:val="auto"/>
                <w:spacing w:val="0"/>
                <w:szCs w:val="21"/>
              </w:rPr>
            </w:pPr>
            <w:r>
              <w:rPr>
                <w:rFonts w:hint="eastAsia" w:ascii="宋体" w:hAnsi="宋体" w:cs="楷体_GB2312"/>
                <w:bCs/>
                <w:color w:val="auto"/>
                <w:spacing w:val="10"/>
                <w:szCs w:val="21"/>
              </w:rPr>
              <w:t>公司已经组织进行了火灾消防演习等应急预案及演习。二阶段详查</w:t>
            </w:r>
          </w:p>
          <w:p>
            <w:pPr>
              <w:spacing w:line="360" w:lineRule="auto"/>
              <w:rPr>
                <w:color w:val="auto"/>
                <w:szCs w:val="21"/>
              </w:rPr>
            </w:pPr>
            <w:r>
              <w:rPr>
                <w:rFonts w:hint="eastAsia"/>
                <w:color w:val="auto"/>
                <w:szCs w:val="21"/>
              </w:rPr>
              <w:t>各部门及项目经理有办公室；工作环境整洁，配备有办公桌椅、电脑、打印机、电话、空调</w:t>
            </w:r>
            <w:r>
              <w:rPr>
                <w:rFonts w:hint="eastAsia"/>
                <w:color w:val="auto"/>
                <w:szCs w:val="21"/>
                <w:lang w:eastAsia="zh-CN"/>
              </w:rPr>
              <w:t>、</w:t>
            </w:r>
            <w:r>
              <w:rPr>
                <w:rFonts w:hint="eastAsia"/>
                <w:color w:val="auto"/>
                <w:szCs w:val="21"/>
              </w:rPr>
              <w:t>灭火器等设施；</w:t>
            </w:r>
          </w:p>
          <w:p>
            <w:pPr>
              <w:spacing w:line="360" w:lineRule="auto"/>
              <w:rPr>
                <w:bCs w:val="0"/>
                <w:color w:val="auto"/>
                <w:spacing w:val="0"/>
                <w:szCs w:val="21"/>
              </w:rPr>
            </w:pPr>
            <w:r>
              <w:rPr>
                <w:rFonts w:hint="eastAsia"/>
                <w:bCs w:val="0"/>
                <w:color w:val="auto"/>
                <w:spacing w:val="0"/>
                <w:szCs w:val="21"/>
              </w:rPr>
              <w:t>运行环境，现场巡查，设备、材料等放置较整齐，基本满足规范要求。</w:t>
            </w:r>
          </w:p>
          <w:p>
            <w:pPr>
              <w:spacing w:line="360" w:lineRule="auto"/>
              <w:rPr>
                <w:color w:val="auto"/>
                <w:szCs w:val="21"/>
              </w:rPr>
            </w:pPr>
            <w:r>
              <w:rPr>
                <w:rFonts w:hint="eastAsia"/>
                <w:color w:val="auto"/>
                <w:szCs w:val="21"/>
              </w:rPr>
              <w:t>二阶段跟踪审核。</w:t>
            </w:r>
          </w:p>
        </w:tc>
        <w:tc>
          <w:tcPr>
            <w:tcW w:w="709" w:type="dxa"/>
          </w:tcPr>
          <w:p>
            <w:pPr>
              <w:spacing w:line="360" w:lineRule="auto"/>
              <w:rPr>
                <w:color w:val="auto"/>
              </w:rPr>
            </w:pPr>
            <w:r>
              <w:rPr>
                <w:rFonts w:hint="eastAsia"/>
                <w:color w:val="auto"/>
                <w:szCs w:val="21"/>
                <w:lang w:val="en-US" w:eastAsia="zh-CN"/>
              </w:rPr>
              <w:t>OK</w:t>
            </w:r>
          </w:p>
          <w:p>
            <w:pPr>
              <w:pStyle w:val="2"/>
              <w:spacing w:line="360" w:lineRule="auto"/>
              <w:rPr>
                <w:color w:val="auto"/>
              </w:rPr>
            </w:pPr>
          </w:p>
          <w:p>
            <w:pPr>
              <w:spacing w:line="360" w:lineRule="auto"/>
              <w:rPr>
                <w:color w:val="auto"/>
              </w:rPr>
            </w:pPr>
          </w:p>
          <w:p>
            <w:pPr>
              <w:spacing w:line="360" w:lineRule="auto"/>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tcPr>
          <w:p>
            <w:pPr>
              <w:spacing w:line="360" w:lineRule="auto"/>
              <w:rPr>
                <w:rFonts w:hint="eastAsia" w:eastAsia="宋体"/>
                <w:color w:val="auto"/>
                <w:szCs w:val="21"/>
                <w:lang w:val="en-US" w:eastAsia="zh-CN"/>
              </w:rPr>
            </w:pPr>
            <w:r>
              <w:rPr>
                <w:rFonts w:hint="eastAsia" w:ascii="宋体" w:hAnsi="宋体"/>
                <w:szCs w:val="21"/>
              </w:rPr>
              <w:t>二阶段审核</w:t>
            </w:r>
            <w:r>
              <w:rPr>
                <w:rFonts w:hint="eastAsia" w:ascii="宋体" w:hAnsi="宋体"/>
                <w:szCs w:val="21"/>
                <w:lang w:val="en-US" w:eastAsia="zh-CN"/>
              </w:rPr>
              <w:t>条件</w:t>
            </w:r>
          </w:p>
        </w:tc>
        <w:tc>
          <w:tcPr>
            <w:tcW w:w="960" w:type="dxa"/>
          </w:tcPr>
          <w:p>
            <w:pPr>
              <w:spacing w:line="360" w:lineRule="auto"/>
              <w:rPr>
                <w:color w:val="auto"/>
                <w:szCs w:val="21"/>
              </w:rPr>
            </w:pPr>
          </w:p>
        </w:tc>
        <w:tc>
          <w:tcPr>
            <w:tcW w:w="10880" w:type="dxa"/>
          </w:tcPr>
          <w:p>
            <w:pPr>
              <w:spacing w:line="360" w:lineRule="auto"/>
              <w:rPr>
                <w:rFonts w:hint="eastAsia"/>
                <w:color w:val="auto"/>
                <w:szCs w:val="21"/>
              </w:rPr>
            </w:pPr>
            <w:r>
              <w:rPr>
                <w:rFonts w:hint="eastAsia" w:ascii="宋体" w:hAnsi="宋体" w:eastAsia="宋体" w:cs="Times New Roman"/>
                <w:szCs w:val="21"/>
              </w:rPr>
              <w:t>具备二阶段审核的条件</w:t>
            </w:r>
          </w:p>
        </w:tc>
        <w:tc>
          <w:tcPr>
            <w:tcW w:w="709" w:type="dxa"/>
          </w:tcPr>
          <w:p>
            <w:pPr>
              <w:spacing w:line="360" w:lineRule="auto"/>
              <w:rPr>
                <w:color w:val="auto"/>
                <w:szCs w:val="21"/>
              </w:rPr>
            </w:pPr>
          </w:p>
        </w:tc>
      </w:tr>
    </w:tbl>
    <w:p>
      <w:r>
        <w:ptab w:relativeTo="margin" w:alignment="center" w:leader="none"/>
      </w:r>
    </w:p>
    <w:p/>
    <w:p/>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AF52F3"/>
    <w:rsid w:val="0B5C5409"/>
    <w:rsid w:val="0C790D0A"/>
    <w:rsid w:val="184C067B"/>
    <w:rsid w:val="2178626F"/>
    <w:rsid w:val="285E1967"/>
    <w:rsid w:val="2EB6769A"/>
    <w:rsid w:val="36631074"/>
    <w:rsid w:val="4136403D"/>
    <w:rsid w:val="461232D0"/>
    <w:rsid w:val="47396368"/>
    <w:rsid w:val="4A4E5B32"/>
    <w:rsid w:val="58C90AC1"/>
    <w:rsid w:val="5B922C89"/>
    <w:rsid w:val="622D6AF4"/>
    <w:rsid w:val="63FC6A3C"/>
    <w:rsid w:val="68D27DAA"/>
    <w:rsid w:val="69F26686"/>
    <w:rsid w:val="6B9B4FEE"/>
    <w:rsid w:val="74D43613"/>
    <w:rsid w:val="78E815C5"/>
    <w:rsid w:val="7B4867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rPr>
      <w:rFonts w:cs="Times New Roman"/>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 w:type="character" w:customStyle="1" w:styleId="11">
    <w:name w:val="批注框文本 Char"/>
    <w:basedOn w:val="7"/>
    <w:link w:val="3"/>
    <w:semiHidden/>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列出段落3"/>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24</TotalTime>
  <ScaleCrop>false</ScaleCrop>
  <LinksUpToDate>false</LinksUpToDate>
  <CharactersWithSpaces>100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2021-03-19T14:08:36Z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C7216F82D82E44B2B154060FC7767AF7</vt:lpwstr>
  </property>
</Properties>
</file>