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-20320</wp:posOffset>
            </wp:positionH>
            <wp:positionV relativeFrom="paragraph">
              <wp:posOffset>125730</wp:posOffset>
            </wp:positionV>
            <wp:extent cx="6397625" cy="9178925"/>
            <wp:effectExtent l="0" t="0" r="3175" b="3175"/>
            <wp:wrapNone/>
            <wp:docPr id="1" name="图片 1" descr="新文档 2021-03-18 14.33.4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18 14.33.48_11"/>
                    <pic:cNvPicPr>
                      <a:picLocks noChangeAspect="1"/>
                    </pic:cNvPicPr>
                  </pic:nvPicPr>
                  <pic:blipFill>
                    <a:blip r:embed="rId6"/>
                    <a:stretch>
                      <a:fillRect/>
                    </a:stretch>
                  </pic:blipFill>
                  <pic:spPr>
                    <a:xfrm>
                      <a:off x="0" y="0"/>
                      <a:ext cx="6397625" cy="917892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保定源启电力科技有限公司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2018-N1EMS-3021827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白帆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C9631E"/>
    <w:rsid w:val="671B62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2021-03-25T13:30:43Z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263D661FC551479082A5FBD1F2D1542B</vt:lpwstr>
  </property>
</Properties>
</file>