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708"/>
        <w:gridCol w:w="1591"/>
        <w:gridCol w:w="1459"/>
        <w:gridCol w:w="126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河北惠鹏电力设备有限公司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O：14.02.04;17.11.03;17.12.03;17.12.05;19.11.03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白帆、吉洁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见上</w:t>
            </w:r>
            <w:bookmarkStart w:id="6" w:name="_GoBack"/>
            <w:bookmarkEnd w:id="6"/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14.02.04,17.11.03,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17.12.03,17.12.05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标识牌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原材料—模压—剪切—粘贴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隔离开关、熔断器：铜板、铁板-裁剪-冲压成型-部件组装-整形调试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铁附件：钢板、角铁—下料—打孔—焊接—镀锌—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硅橡胶避雷器：氧化锌片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烘烤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平板硫化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冷却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绝缘子：金具+环氧棒压接—烘干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硫化成型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高压拉闸杆：绝缘杆和接口-安装接口-调试令克棒-加固令克棒。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接地线：铜丝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束丝机束丝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包塑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盘卷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验电器：绝缘管—切割--连接--线路板焊接-验电器头组装--成品检验-入库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防鸟刺：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原材料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折弯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压接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驱鸟器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冲压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防鸟罩、绝缘护罩：裁剪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组装卡扣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修边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硬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梯：环氧树脂杆-----切割----组装（防滑垫）-----检验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登杆脚扣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方管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打孔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电力金具：原材料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下料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机加工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生产任务未按时完成，设备故障，工人操作不当，控制措施：生产和服务控制程序、设备操作规程、作业指导书；特殊过程：焊接、包塑、硫化，编制作业指导书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固体废弃物排放、火灾的发生、噪声排放、废气排放，控制措施：环境因素的识别与评价控制程序、环境和职业健康安全运行控制程序、应急准备和响应控制程序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潜在火灾、触电、废气伤害、机械伤害、物体打击、意外伤害，控制措施：危险源辨识、风险评价控制程序、环境和职业健康安全运行控制程序、应急准备和响应控制程序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  <w:t>质量法、合同法、环境保护法、劳动法、消防法、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安全生产法、架空通信线路配件 第4部分：抱箍类、光缆预留支架YD/T3436.4-2019、输电线路铁塔制造技术条件GB/T2694-2018、交流输电线路用复合外套金属氧化物避雷器DL/T 815-2012、电力金具通用技术条件GB/T 2314-2008、高压线路针式瓷绝缘子尺寸与特性GB/T 1000-2016、高压交流熔断器 第2部分：限流熔断器GB/T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符合架空通信线路配件 第4部分：抱箍类、光缆预留支架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YD/T3436.4-2019、输电线路铁塔制造技术条件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GB/T2694-2018、交流输电线路用复合外套金属氧化物避雷器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DL/T 815-2012、电力金具通用技术条件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2314-2008、高压线路针式瓷绝缘子尺寸与特性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1000-2016、高压交流熔断器 第2部分：限流熔断器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白帆、吉洁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刘玉兰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E8E"/>
    <w:rsid w:val="0B9B154A"/>
    <w:rsid w:val="1DF26652"/>
    <w:rsid w:val="43035EBD"/>
    <w:rsid w:val="50B21DC8"/>
    <w:rsid w:val="697B3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2021-03-16T07:45:08Z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07B8845B9452446A96ED3A2F6863B33A</vt:lpwstr>
  </property>
</Properties>
</file>