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受审核方：集曼(江苏)特种门业有限公司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52"/>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995" w:type="dxa"/>
            <w:gridSpan w:val="3"/>
            <w:vAlign w:val="center"/>
          </w:tcPr>
          <w:p>
            <w:pPr>
              <w:jc w:val="center"/>
              <w:rPr>
                <w:b/>
                <w:sz w:val="21"/>
                <w:szCs w:val="21"/>
              </w:rPr>
            </w:pPr>
            <w:r>
              <w:rPr>
                <w:rFonts w:hint="eastAsia"/>
                <w:b/>
                <w:sz w:val="21"/>
                <w:szCs w:val="21"/>
              </w:rPr>
              <w:t>专业代码</w:t>
            </w:r>
          </w:p>
        </w:tc>
        <w:tc>
          <w:tcPr>
            <w:tcW w:w="1462"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2020-N1EMS-1258213</w:t>
            </w:r>
          </w:p>
          <w:p>
            <w:pPr>
              <w:jc w:val="center"/>
              <w:rPr>
                <w:b/>
                <w:sz w:val="21"/>
                <w:szCs w:val="21"/>
              </w:rPr>
            </w:pPr>
            <w:r>
              <w:rPr>
                <w:b/>
                <w:sz w:val="21"/>
                <w:szCs w:val="21"/>
              </w:rPr>
              <w:t>2020-N1OHSMS-1258213</w:t>
            </w:r>
          </w:p>
        </w:tc>
        <w:tc>
          <w:tcPr>
            <w:tcW w:w="1995" w:type="dxa"/>
            <w:gridSpan w:val="3"/>
            <w:vAlign w:val="center"/>
          </w:tcPr>
          <w:p>
            <w:pPr>
              <w:jc w:val="center"/>
              <w:rPr>
                <w:b/>
                <w:sz w:val="21"/>
                <w:szCs w:val="21"/>
              </w:rPr>
            </w:pPr>
            <w:r>
              <w:rPr>
                <w:b/>
                <w:sz w:val="21"/>
                <w:szCs w:val="21"/>
              </w:rPr>
              <w:t>E：17.06.02;29.12.0</w:t>
            </w:r>
            <w:bookmarkStart w:id="24" w:name="_GoBack"/>
            <w:bookmarkEnd w:id="24"/>
            <w:r>
              <w:rPr>
                <w:b/>
                <w:sz w:val="21"/>
                <w:szCs w:val="21"/>
              </w:rPr>
              <w:t>0</w:t>
            </w:r>
          </w:p>
          <w:p>
            <w:pPr>
              <w:jc w:val="center"/>
              <w:rPr>
                <w:b/>
                <w:sz w:val="21"/>
                <w:szCs w:val="21"/>
              </w:rPr>
            </w:pPr>
            <w:r>
              <w:rPr>
                <w:b/>
                <w:sz w:val="21"/>
                <w:szCs w:val="21"/>
              </w:rPr>
              <w:t>O：17.06.02;29.12.00</w:t>
            </w:r>
          </w:p>
        </w:tc>
        <w:tc>
          <w:tcPr>
            <w:tcW w:w="1462" w:type="dxa"/>
            <w:vAlign w:val="center"/>
          </w:tcPr>
          <w:p>
            <w:pPr>
              <w:jc w:val="center"/>
              <w:rPr>
                <w:b/>
                <w:sz w:val="21"/>
                <w:szCs w:val="21"/>
              </w:rPr>
            </w:pPr>
            <w:r>
              <w:rPr>
                <w:b/>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95" w:type="dxa"/>
            <w:gridSpan w:val="3"/>
          </w:tcPr>
          <w:p>
            <w:pPr>
              <w:rPr>
                <w:b/>
                <w:sz w:val="21"/>
                <w:szCs w:val="21"/>
              </w:rPr>
            </w:pPr>
          </w:p>
        </w:tc>
        <w:tc>
          <w:tcPr>
            <w:tcW w:w="1462"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95" w:type="dxa"/>
            <w:gridSpan w:val="3"/>
          </w:tcPr>
          <w:p>
            <w:pPr>
              <w:rPr>
                <w:b/>
                <w:sz w:val="21"/>
                <w:szCs w:val="21"/>
              </w:rPr>
            </w:pPr>
          </w:p>
        </w:tc>
        <w:tc>
          <w:tcPr>
            <w:tcW w:w="1462"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95" w:type="dxa"/>
            <w:gridSpan w:val="3"/>
          </w:tcPr>
          <w:p>
            <w:pPr>
              <w:rPr>
                <w:b/>
                <w:sz w:val="21"/>
                <w:szCs w:val="21"/>
              </w:rPr>
            </w:pPr>
          </w:p>
        </w:tc>
        <w:tc>
          <w:tcPr>
            <w:tcW w:w="1462"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集曼(江苏)特种门业有限公司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东台市金属材料产业园南沈灶镇明星园区18号</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224200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东台市金属材料产业园南沈灶镇明星园区18号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224200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东台市金属材料产业园南沈灶镇明星园区18号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224200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方勇</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13911389635</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高向明</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韩军</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2021年03月11日 上午至2021年03月12日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2" w:name="审核范围"/>
            <w:r>
              <w:rPr>
                <w:sz w:val="20"/>
              </w:rPr>
              <w:t>E：资质范围内钢质防火卷闸、防火钢门、隔断、特种门、金属吊顶、金属隔断的制造及销售；卷帘门、铝塑门窗、木制品及五金产品的销售及其所涉及场所的相关环境管理活动</w:t>
            </w:r>
          </w:p>
          <w:p>
            <w:pPr>
              <w:spacing w:line="360" w:lineRule="exact"/>
              <w:rPr>
                <w:rFonts w:ascii="宋体" w:hAnsi="宋体"/>
                <w:b/>
                <w:sz w:val="21"/>
                <w:szCs w:val="21"/>
              </w:rPr>
            </w:pPr>
            <w:r>
              <w:rPr>
                <w:sz w:val="20"/>
              </w:rPr>
              <w:t>O：资质范围内钢质防火卷闸、防火钢门、隔断、特种门、金属吊顶、金属隔断的制造及销售；卷帘门、铝塑门窗、木制品及五金产品的销售及其所涉及场所的相关职业健康安全管理活动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E：17.06.02;29.12.00</w:t>
            </w:r>
          </w:p>
          <w:p>
            <w:pPr>
              <w:spacing w:line="260" w:lineRule="exact"/>
              <w:rPr>
                <w:rFonts w:ascii="宋体" w:hAnsi="宋体"/>
                <w:b/>
                <w:sz w:val="21"/>
                <w:szCs w:val="21"/>
              </w:rPr>
            </w:pPr>
            <w:r>
              <w:rPr>
                <w:rFonts w:ascii="宋体" w:hAnsi="宋体"/>
                <w:b/>
                <w:sz w:val="21"/>
                <w:szCs w:val="21"/>
              </w:rPr>
              <w:t>O：17.06.02</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beforeLines="100" w:line="320" w:lineRule="exact"/>
        <w:ind w:left="-102"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color w:val="000000" w:themeColor="text1"/>
              </w:rPr>
            </w:pPr>
            <w:r>
              <w:rPr>
                <w:color w:val="000000"/>
                <w:szCs w:val="21"/>
              </w:rPr>
              <w:t>集曼(江苏)特种门业有限公司</w:t>
            </w:r>
            <w:r>
              <w:rPr>
                <w:rFonts w:hint="eastAsia" w:ascii="宋体" w:hAnsi="宋体"/>
                <w:szCs w:val="21"/>
                <w:lang w:eastAsia="zh-CN"/>
              </w:rPr>
              <w:t xml:space="preserve"> ，成</w:t>
            </w:r>
            <w:r>
              <w:rPr>
                <w:rFonts w:hint="eastAsia" w:ascii="宋体" w:hAnsi="宋体"/>
                <w:color w:val="000000" w:themeColor="text1"/>
                <w:szCs w:val="21"/>
                <w:lang w:eastAsia="zh-CN"/>
              </w:rPr>
              <w:t>立于2017-06-20 - 无限期，注册资本为</w:t>
            </w:r>
            <w:r>
              <w:rPr>
                <w:rFonts w:hint="eastAsia" w:ascii="宋体" w:hAnsi="宋体"/>
                <w:color w:val="000000" w:themeColor="text1"/>
                <w:szCs w:val="21"/>
                <w:lang w:val="en-US" w:eastAsia="zh-CN"/>
              </w:rPr>
              <w:t>20</w:t>
            </w:r>
            <w:r>
              <w:rPr>
                <w:rFonts w:hint="eastAsia" w:ascii="宋体" w:hAnsi="宋体"/>
                <w:color w:val="000000" w:themeColor="text1"/>
                <w:szCs w:val="21"/>
                <w:lang w:eastAsia="zh-CN"/>
              </w:rPr>
              <w:t>00万元的股份合作企业。公司主要业务为钢质防火门窗、卷帘门、挡烟垂壁、铝塑门窗、木制品、五金产品、金属构件制造、安装、保养、销售，金属门窗技术服务、技术咨询。（依法须经批准的项目，经相关部门批准后方可开展经营活动），公司的主要客户群为全国各地的企业、机关、</w:t>
            </w:r>
            <w:r>
              <w:rPr>
                <w:rFonts w:hint="eastAsia" w:ascii="宋体" w:hAnsi="宋体"/>
                <w:color w:val="000000" w:themeColor="text1"/>
                <w:szCs w:val="21"/>
                <w:lang w:val="en-US" w:eastAsia="zh-CN"/>
              </w:rPr>
              <w:t>城市及村镇居民</w:t>
            </w:r>
            <w:r>
              <w:rPr>
                <w:rFonts w:hint="eastAsia" w:ascii="宋体" w:hAnsi="宋体"/>
                <w:color w:val="000000" w:themeColor="text1"/>
                <w:szCs w:val="21"/>
                <w:lang w:eastAsia="zh-CN"/>
              </w:rPr>
              <w:t>等；公司采用总经理负责制，层层把关，让用户真正放心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pacing w:val="-10"/>
                <w:sz w:val="20"/>
                <w:szCs w:val="20"/>
              </w:rPr>
              <w:sym w:font="Wingdings 2" w:char="00A3"/>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720"/>
              </w:tabs>
              <w:spacing w:line="48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公司的环境、职业健康安全方针：</w:t>
            </w:r>
          </w:p>
          <w:p>
            <w:pPr>
              <w:rPr>
                <w:rFonts w:hint="eastAsia"/>
                <w:b/>
                <w:bCs/>
              </w:rPr>
            </w:pPr>
            <w:r>
              <w:rPr>
                <w:rFonts w:hint="eastAsia"/>
                <w:b/>
                <w:bCs/>
              </w:rPr>
              <w:t>顾客至上，质量第一，持续改进；</w:t>
            </w:r>
          </w:p>
          <w:p>
            <w:pPr>
              <w:rPr>
                <w:rFonts w:hint="eastAsia"/>
                <w:b/>
                <w:bCs/>
              </w:rPr>
            </w:pPr>
            <w:r>
              <w:rPr>
                <w:rFonts w:hint="eastAsia"/>
                <w:b/>
                <w:bCs/>
              </w:rPr>
              <w:t>节能降耗，注重环境保护与污染预防；</w:t>
            </w:r>
          </w:p>
          <w:p>
            <w:pPr>
              <w:rPr>
                <w:rFonts w:hint="eastAsia"/>
                <w:b/>
                <w:bCs/>
              </w:rPr>
            </w:pPr>
            <w:r>
              <w:rPr>
                <w:rFonts w:hint="eastAsia"/>
                <w:b/>
                <w:bCs/>
              </w:rPr>
              <w:t>以人为本，确保职业健康与劳动安全；</w:t>
            </w:r>
          </w:p>
          <w:p>
            <w:pPr>
              <w:pStyle w:val="2"/>
            </w:pPr>
            <w:r>
              <w:rPr>
                <w:rFonts w:hint="eastAsia"/>
                <w:color w:val="000000"/>
              </w:rPr>
              <w:t>通过管理手册的分发使全体员工理解方针，通过内审和管理评审保持方针的适宜性。</w:t>
            </w:r>
          </w:p>
          <w:p>
            <w:pPr>
              <w:spacing w:line="240" w:lineRule="exact"/>
              <w:ind w:left="228"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1" o:spid="_x0000_s2051" o:spt="32" type="#_x0000_t32" style="position:absolute;left:0pt;margin-left:157.9pt;margin-top:12.75pt;height:0pt;width:261.75pt;z-index:251674624;mso-width-relative:page;mso-height-relative:page;" filled="f" stroked="t" coordsize="21600,21600">
                  <v:path arrowok="t"/>
                  <v:fill on="f" focussize="0,0"/>
                  <v:stroke color="#000000"/>
                  <v:imagedata o:title=""/>
                  <o:lock v:ext="edit" aspectratio="f"/>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73600;mso-width-relative:page;mso-height-relative:page;" filled="f" stroked="t" coordsize="21600,21600">
                  <v:path arrowok="t"/>
                  <v:fill on="f" focussize="0,0"/>
                  <v:stroke color="#000000"/>
                  <v:imagedata o:title=""/>
                  <o:lock v:ext="edit" aspectratio="f"/>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4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6</w:t>
            </w:r>
            <w:r>
              <w:rPr>
                <w:rFonts w:hint="eastAsia"/>
                <w:sz w:val="21"/>
                <w:szCs w:val="21"/>
              </w:rPr>
              <w:t>项，涉及：火灾和触电</w:t>
            </w:r>
            <w:r>
              <w:rPr>
                <w:rFonts w:hint="eastAsia"/>
                <w:sz w:val="21"/>
                <w:szCs w:val="21"/>
                <w:lang w:eastAsia="zh-CN"/>
              </w:rPr>
              <w:t>、机械伤害、职业病、灼烫、起重伤害。</w:t>
            </w:r>
            <w:r>
              <w:rPr>
                <w:rFonts w:hint="eastAsia"/>
                <w:sz w:val="21"/>
                <w:szCs w:val="21"/>
              </w:rPr>
              <w:t>评价符合程序要求及公司的实际情况。对危险源的控制措施包括制定管理制度、监督检查、应急预案、培训等。</w:t>
            </w:r>
          </w:p>
          <w:p>
            <w:pPr>
              <w:pStyle w:val="2"/>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35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szCs w:val="21"/>
              </w:rPr>
              <w:t>资质范围内钢质防火门窗、防火卷帘门、挡烟垂壁的制造及销售；卷帘门的制造及销售；铝塑门窗、木制品及五金产品的销售</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sz w:val="21"/>
                <w:szCs w:val="21"/>
              </w:rPr>
            </w:pPr>
            <w:r>
              <w:rPr>
                <w:rFonts w:hint="eastAsia" w:ascii="宋体" w:hAnsi="宋体" w:cs="宋体"/>
                <w:sz w:val="21"/>
                <w:szCs w:val="21"/>
                <w:lang w:eastAsia="zh-CN"/>
              </w:rPr>
              <w:t>生产设施：</w:t>
            </w:r>
            <w:r>
              <w:rPr>
                <w:rFonts w:hint="eastAsia" w:ascii="宋体" w:hAnsi="宋体" w:cs="宋体"/>
                <w:sz w:val="21"/>
                <w:szCs w:val="21"/>
                <w:lang w:val="en-US" w:eastAsia="zh-CN"/>
              </w:rPr>
              <w:t>车床、铣床、、焊机、剪板机、喷涂生产线、叉车、吊车、锅炉等</w:t>
            </w:r>
            <w:r>
              <w:rPr>
                <w:rFonts w:hint="eastAsia" w:ascii="宋体" w:hAnsi="宋体" w:cs="宋体"/>
                <w:sz w:val="21"/>
                <w:szCs w:val="21"/>
                <w:lang w:eastAsia="zh-CN"/>
              </w:rPr>
              <w:t>设施</w:t>
            </w:r>
            <w:r>
              <w:rPr>
                <w:rFonts w:hint="eastAsia" w:ascii="宋体" w:hAnsi="宋体" w:eastAsia="宋体" w:cs="宋体"/>
                <w:sz w:val="21"/>
                <w:szCs w:val="21"/>
              </w:rPr>
              <w:t>等</w:t>
            </w:r>
          </w:p>
          <w:p>
            <w:pPr>
              <w:pStyle w:val="2"/>
              <w:rPr>
                <w:rFonts w:hint="eastAsia" w:eastAsia="宋体"/>
                <w:lang w:eastAsia="zh-CN"/>
              </w:rPr>
            </w:pPr>
            <w:r>
              <w:rPr>
                <w:rFonts w:hint="eastAsia" w:ascii="宋体" w:hAnsi="宋体" w:cs="宋体"/>
                <w:sz w:val="21"/>
                <w:szCs w:val="21"/>
                <w:lang w:eastAsia="zh-CN"/>
              </w:rPr>
              <w:t>办公设施：电脑、打印机、复印机等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eastAsia="宋体"/>
                <w:lang w:val="en-US" w:eastAsia="zh-CN"/>
              </w:rPr>
            </w:pPr>
            <w:r>
              <w:rPr>
                <w:rFonts w:hint="eastAsia"/>
                <w:lang w:val="en-US" w:eastAsia="zh-CN"/>
              </w:rPr>
              <w:t>提供有压力表、安全阀的检验报告，见附件。</w:t>
            </w:r>
          </w:p>
          <w:p>
            <w:pPr>
              <w:spacing w:line="240" w:lineRule="exact"/>
              <w:rPr>
                <w:rFonts w:ascii="宋体" w:hAnsi="宋体"/>
                <w:b/>
                <w:color w:val="000000" w:themeColor="text1"/>
                <w:sz w:val="20"/>
                <w:szCs w:val="20"/>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配备有移动式烟尘收集装置、有机废气经活性炭吸附装置处理、活性炭吸附装置</w:t>
            </w:r>
            <w:r>
              <w:rPr>
                <w:rFonts w:hint="eastAsia"/>
                <w:lang w:eastAsia="zh-CN"/>
              </w:rPr>
              <w:t>、灭火器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w:t>
            </w:r>
            <w:r>
              <w:rPr>
                <w:rFonts w:hint="eastAsia"/>
                <w:lang w:val="en-US" w:eastAsia="zh-CN"/>
              </w:rPr>
              <w:t>消防</w:t>
            </w:r>
            <w:r>
              <w:rPr>
                <w:rFonts w:hint="eastAsia"/>
              </w:rPr>
              <w:t>设施。</w:t>
            </w:r>
          </w:p>
          <w:p>
            <w:pPr>
              <w:pStyle w:val="2"/>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bCs/>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 w:val="21"/>
                <w:szCs w:val="21"/>
              </w:rPr>
              <w:t>火灾和触电</w:t>
            </w:r>
            <w:r>
              <w:rPr>
                <w:rFonts w:hint="eastAsia"/>
                <w:sz w:val="21"/>
                <w:szCs w:val="21"/>
                <w:lang w:eastAsia="zh-CN"/>
              </w:rPr>
              <w:t>、机械伤害、职业病、灼烫、起重伤害。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eastAsia="zh-CN"/>
              </w:rPr>
              <w:t>提供特种设备检测报告（</w:t>
            </w:r>
            <w:r>
              <w:rPr>
                <w:rFonts w:hint="eastAsia"/>
                <w:b w:val="0"/>
                <w:bCs/>
                <w:color w:val="000000" w:themeColor="text1"/>
                <w:sz w:val="20"/>
                <w:szCs w:val="20"/>
                <w:lang w:val="en-US" w:eastAsia="zh-CN"/>
              </w:rPr>
              <w:t>锅炉、叉车、天车）见附件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2"/>
              <w:rPr>
                <w:rFonts w:hint="eastAsia"/>
                <w:b/>
                <w:sz w:val="20"/>
                <w:szCs w:val="20"/>
              </w:rPr>
            </w:pPr>
          </w:p>
          <w:p>
            <w:pPr>
              <w:pStyle w:val="2"/>
              <w:numPr>
                <w:ilvl w:val="0"/>
                <w:numId w:val="3"/>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ascii="Times New Roman" w:hAnsi="Times New Roman" w:eastAsia="宋体" w:cs="Times New Roman"/>
                <w:b w:val="0"/>
                <w:bCs/>
                <w:color w:val="000000" w:themeColor="text1"/>
                <w:spacing w:val="0"/>
                <w:kern w:val="2"/>
                <w:sz w:val="20"/>
                <w:szCs w:val="20"/>
                <w:lang w:val="en-US" w:eastAsia="zh-CN" w:bidi="ar-SA"/>
              </w:rPr>
              <w:t>该公司使用</w:t>
            </w:r>
            <w:r>
              <w:rPr>
                <w:rFonts w:hint="eastAsia" w:cs="Times New Roman"/>
                <w:b w:val="0"/>
                <w:bCs/>
                <w:color w:val="000000" w:themeColor="text1"/>
                <w:spacing w:val="0"/>
                <w:kern w:val="2"/>
                <w:sz w:val="20"/>
                <w:szCs w:val="20"/>
                <w:lang w:val="en-US" w:eastAsia="zh-CN" w:bidi="ar-SA"/>
              </w:rPr>
              <w:t>天然气给锅炉提供能源，锅炉有捡定报告，现场有天然气MSDS。</w:t>
            </w:r>
          </w:p>
          <w:p>
            <w:pPr>
              <w:pStyle w:val="2"/>
              <w:numPr>
                <w:ilvl w:val="0"/>
                <w:numId w:val="3"/>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公司有废油桶、废油手套，提供危废处理协议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提供2019年环评报告，环境监测报告。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4"/>
              </w:numPr>
              <w:spacing w:line="240" w:lineRule="exact"/>
              <w:rPr>
                <w:rFonts w:hint="eastAsia"/>
              </w:rPr>
            </w:pPr>
            <w:r>
              <w:rPr>
                <w:rFonts w:hint="eastAsia"/>
              </w:rPr>
              <w:t>上次不符合的整改情况（再认证填写）</w:t>
            </w:r>
          </w:p>
          <w:p>
            <w:pPr>
              <w:pStyle w:val="2"/>
              <w:numPr>
                <w:ilvl w:val="0"/>
                <w:numId w:val="0"/>
              </w:numPr>
              <w:rPr>
                <w:rFonts w:hint="default" w:eastAsia="宋体"/>
                <w:lang w:val="en-US" w:eastAsia="zh-CN"/>
              </w:rPr>
            </w:pPr>
            <w:r>
              <w:rPr>
                <w:rFonts w:hint="eastAsia"/>
                <w:lang w:val="en-US" w:eastAsia="zh-CN"/>
              </w:rPr>
              <w:t>经验证整改措施有效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A3"/>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5" w:firstLineChars="250"/>
        <w:rPr>
          <w:b/>
          <w:sz w:val="21"/>
        </w:rPr>
      </w:pPr>
      <w:r>
        <w:rPr>
          <w:rFonts w:hint="default" w:eastAsia="宋体"/>
          <w:sz w:val="21"/>
          <w:szCs w:val="21"/>
          <w:lang w:val="en-US" w:eastAsia="zh-CN"/>
        </w:rPr>
        <w:drawing>
          <wp:anchor distT="0" distB="0" distL="114300" distR="114300" simplePos="0" relativeHeight="251680768" behindDoc="0" locked="0" layoutInCell="1" allowOverlap="1">
            <wp:simplePos x="0" y="0"/>
            <wp:positionH relativeFrom="column">
              <wp:posOffset>1910080</wp:posOffset>
            </wp:positionH>
            <wp:positionV relativeFrom="paragraph">
              <wp:posOffset>88900</wp:posOffset>
            </wp:positionV>
            <wp:extent cx="514350" cy="371475"/>
            <wp:effectExtent l="0" t="0" r="635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2021.3.12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C66C2"/>
    <w:multiLevelType w:val="singleLevel"/>
    <w:tmpl w:val="F16C66C2"/>
    <w:lvl w:ilvl="0" w:tentative="0">
      <w:start w:val="1"/>
      <w:numFmt w:val="decimal"/>
      <w:lvlText w:val="%1."/>
      <w:lvlJc w:val="left"/>
      <w:pPr>
        <w:tabs>
          <w:tab w:val="left" w:pos="312"/>
        </w:tabs>
      </w:pPr>
    </w:lvl>
  </w:abstractNum>
  <w:abstractNum w:abstractNumId="1">
    <w:nsid w:val="1F201986"/>
    <w:multiLevelType w:val="singleLevel"/>
    <w:tmpl w:val="1F201986"/>
    <w:lvl w:ilvl="0" w:tentative="0">
      <w:start w:val="5"/>
      <w:numFmt w:val="decimal"/>
      <w:suff w:val="space"/>
      <w:lvlText w:val="%1."/>
      <w:lvlJc w:val="left"/>
    </w:lvl>
  </w:abstractNum>
  <w:abstractNum w:abstractNumId="2">
    <w:nsid w:val="406EA223"/>
    <w:multiLevelType w:val="singleLevel"/>
    <w:tmpl w:val="406EA223"/>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A32746"/>
    <w:rsid w:val="21942A8C"/>
    <w:rsid w:val="75F101FC"/>
    <w:rsid w:val="76F52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2021-03-17T01:25:22Z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