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drawing>
          <wp:inline distT="0" distB="0" distL="114300" distR="114300">
            <wp:extent cx="6346825" cy="9749155"/>
            <wp:effectExtent l="0" t="0" r="317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6825" cy="974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审核计划</w:t>
      </w:r>
      <w:bookmarkStart w:id="17" w:name="_GoBack"/>
      <w:bookmarkEnd w:id="17"/>
    </w:p>
    <w:tbl>
      <w:tblPr>
        <w:tblStyle w:val="5"/>
        <w:tblpPr w:leftFromText="180" w:rightFromText="180" w:vertAnchor="page" w:horzAnchor="page" w:tblpX="1056" w:tblpY="1914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46"/>
        <w:gridCol w:w="396"/>
        <w:gridCol w:w="75"/>
        <w:gridCol w:w="101"/>
        <w:gridCol w:w="589"/>
        <w:gridCol w:w="261"/>
        <w:gridCol w:w="56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十堰诺晨工贸有限公司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十堰市车站路10号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周益华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13997800168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1140405587@qq.com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防锈油、一般机械零部件的加工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12.05.04;17.10.02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2021年03月16日 上午至2021年03月17日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1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7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11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47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13581379911</w:t>
            </w: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1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9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inline distT="0" distB="0" distL="114300" distR="114300">
                  <wp:extent cx="691515" cy="222885"/>
                  <wp:effectExtent l="0" t="0" r="698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pacing w:line="240" w:lineRule="atLeast"/>
        <w:jc w:val="both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00"/>
        <w:gridCol w:w="873"/>
        <w:gridCol w:w="4187"/>
        <w:gridCol w:w="124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2021.3.16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4187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8:30-12：00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9.1.1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13:00-16：00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2021.3.16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16:00-17：00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部门职责和权限；目标实现情况；与产品和服务有关要求的确定；外部提供过程、产品及产品的控制；顾客财产；交付后活动；顾客满意； 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10:00-12：00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13:00-16：30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部门职责和权限；目标实现情况；基础设施配置与管理；过程运行环境管理；监视和测量设备；产品实现的策划 设计开发； 生产和服务提供、标识和可追溯性管理；更改控制；产品和服务的放行；不合格输出的控制、纠正措施</w:t>
            </w:r>
          </w:p>
        </w:tc>
        <w:tc>
          <w:tcPr>
            <w:tcW w:w="1246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7.1.3-7.1.5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8.6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16:30-17：00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ISC-JSZJ-177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87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12：00-13：00午饭休息时间</w:t>
            </w:r>
          </w:p>
        </w:tc>
        <w:tc>
          <w:tcPr>
            <w:tcW w:w="124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C8369E"/>
    <w:rsid w:val="1469426A"/>
    <w:rsid w:val="15376ED7"/>
    <w:rsid w:val="7B5F7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2021-03-21T06:38:00Z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DA3E3D4D5ED14EC7BD3313985353D228</vt:lpwstr>
  </property>
</Properties>
</file>