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北京博联创达科技发展有限公司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流程：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特殊过程及需要确认的过程为：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</w:rPr>
              <w:t>识别与电力工程设计相关的法律法规是：</w:t>
            </w:r>
            <w:r>
              <w:rPr>
                <w:rFonts w:hint="eastAsia"/>
                <w:szCs w:val="21"/>
              </w:rPr>
              <w:t>《国网北京市电力公司配电网工程---典型设计》、《城市电力规划规范》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50057-2010、《工业与民用配电设计手册》第三版：中国电力出版社，2005、《北京电网规划设计技术原则》 Q/GDW 02 1 1601-2012、《城市电力网规划设计导则》 Q/GDW 156-2006</w:t>
            </w:r>
            <w:r>
              <w:rPr>
                <w:rFonts w:hint="eastAsia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2021.6.18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2021.6.18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A39CF"/>
    <w:rsid w:val="594E5A93"/>
    <w:rsid w:val="74075A9B"/>
    <w:rsid w:val="778112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2021-06-18T03:25:51Z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6B35D26FC265414F97CF348B9143222A</vt:lpwstr>
  </property>
</Properties>
</file>