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hint="eastAsia" w:ascii="楷体" w:hAnsi="楷体" w:eastAsia="楷体"/>
          <w:b/>
          <w:color w:val="000000" w:themeColor="text1"/>
          <w:sz w:val="84"/>
          <w:szCs w:val="84"/>
          <w:lang w:val="en-US" w:eastAsia="zh-CN"/>
        </w:rPr>
      </w:pPr>
      <w:r>
        <w:rPr>
          <w:rFonts w:hint="eastAsia" w:ascii="楷体" w:hAnsi="楷体" w:eastAsia="楷体"/>
          <w:b/>
          <w:color w:val="000000" w:themeColor="text1"/>
          <w:sz w:val="84"/>
          <w:szCs w:val="84"/>
          <w:lang w:val="en-US" w:eastAsia="zh-CN"/>
        </w:rPr>
        <w:t xml:space="preserve"> </w:t>
      </w:r>
      <w:bookmarkStart w:id="23" w:name="_GoBack"/>
      <w:bookmarkEnd w:id="23"/>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陕西锦艺电子科技有限公司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牛小英</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陕西锦艺电子科技有限公司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7" w:name="注册地址"/>
            <w:r>
              <w:rPr>
                <w:rFonts w:ascii="宋体" w:hAnsi="宋体"/>
                <w:b/>
                <w:color w:val="000000" w:themeColor="text1"/>
                <w:sz w:val="20"/>
                <w:szCs w:val="20"/>
              </w:rPr>
              <w:t>西安市雁塔区电子西街3号西京三号第5幢十四层51409号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西安市雁塔区电子二路锦业大厦8-G</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bookmarkStart w:id="11" w:name="生产地址"/>
            <w:r>
              <w:rPr>
                <w:rFonts w:hint="eastAsia" w:ascii="宋体" w:hAnsi="宋体"/>
                <w:b/>
                <w:color w:val="000000" w:themeColor="text1"/>
                <w:sz w:val="20"/>
                <w:szCs w:val="20"/>
              </w:rPr>
              <w:t>西安市长安区长安科技园创汇路25号</w:t>
            </w:r>
            <w:bookmarkEnd w:id="11"/>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r>
              <w:rPr>
                <w:rFonts w:ascii="宋体" w:hAnsi="宋体"/>
                <w:b/>
                <w:color w:val="000000" w:themeColor="text1"/>
                <w:sz w:val="20"/>
                <w:szCs w:val="20"/>
              </w:rPr>
              <w:t>710000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李蓬军</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15991809739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李蓬军</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李蓬军</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机械零部件加工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17.10.02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2020-09-01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eastAsia="宋体" w:cs="Times New Roman"/>
                <w:b/>
                <w:bCs w:val="0"/>
                <w:color w:val="000000" w:themeColor="text1"/>
                <w:kern w:val="2"/>
                <w:sz w:val="20"/>
                <w:szCs w:val="20"/>
                <w:lang w:val="en-US" w:eastAsia="zh-CN" w:bidi="ar-SA"/>
              </w:rPr>
            </w:pPr>
            <w:r>
              <w:rPr>
                <w:rFonts w:hint="eastAsia" w:ascii="宋体" w:hAnsi="宋体" w:eastAsia="宋体" w:cs="Times New Roman"/>
                <w:b/>
                <w:bCs w:val="0"/>
                <w:color w:val="000000"/>
                <w:sz w:val="20"/>
                <w:szCs w:val="20"/>
                <w:lang w:val="en-US" w:eastAsia="zh-CN"/>
              </w:rPr>
              <w:t>高管层</w:t>
            </w:r>
          </w:p>
        </w:tc>
        <w:tc>
          <w:tcPr>
            <w:tcW w:w="6804" w:type="dxa"/>
            <w:vAlign w:val="top"/>
          </w:tcPr>
          <w:p>
            <w:pPr>
              <w:spacing w:line="240" w:lineRule="auto"/>
              <w:jc w:val="left"/>
              <w:rPr>
                <w:rFonts w:ascii="宋体" w:hAnsi="宋体" w:eastAsia="宋体" w:cs="Times New Roman"/>
                <w:b/>
                <w:bCs w:val="0"/>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内外部环境、风险识别、资源支持、管理评审等，与管理层有关的质量管理活动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eastAsia="宋体" w:cs="Times New Roman"/>
                <w:b/>
                <w:bCs w:val="0"/>
                <w:color w:val="000000" w:themeColor="text1"/>
                <w:kern w:val="2"/>
                <w:sz w:val="20"/>
                <w:szCs w:val="20"/>
                <w:lang w:val="en-US" w:eastAsia="zh-CN" w:bidi="ar-SA"/>
              </w:rPr>
            </w:pPr>
            <w:r>
              <w:rPr>
                <w:rFonts w:hint="eastAsia" w:ascii="宋体" w:hAnsi="宋体"/>
                <w:b/>
                <w:bCs w:val="0"/>
                <w:color w:val="000000"/>
                <w:sz w:val="20"/>
                <w:szCs w:val="20"/>
                <w:lang w:val="en-US" w:eastAsia="zh-CN"/>
              </w:rPr>
              <w:t>综合部</w:t>
            </w:r>
          </w:p>
        </w:tc>
        <w:tc>
          <w:tcPr>
            <w:tcW w:w="6804" w:type="dxa"/>
            <w:vAlign w:val="top"/>
          </w:tcPr>
          <w:p>
            <w:pPr>
              <w:spacing w:line="240" w:lineRule="auto"/>
              <w:jc w:val="left"/>
              <w:rPr>
                <w:rFonts w:ascii="宋体" w:hAnsi="宋体" w:eastAsia="宋体" w:cs="Times New Roman"/>
                <w:b/>
                <w:bCs w:val="0"/>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eastAsia="宋体" w:cs="Times New Roman"/>
                <w:b/>
                <w:bCs w:val="0"/>
                <w:color w:val="000000" w:themeColor="text1"/>
                <w:kern w:val="2"/>
                <w:sz w:val="20"/>
                <w:szCs w:val="20"/>
                <w:lang w:val="en-US" w:eastAsia="zh-CN" w:bidi="ar-SA"/>
              </w:rPr>
            </w:pPr>
            <w:r>
              <w:rPr>
                <w:rFonts w:hint="eastAsia" w:ascii="宋体" w:hAnsi="宋体"/>
                <w:b/>
                <w:bCs w:val="0"/>
                <w:color w:val="000000"/>
                <w:sz w:val="20"/>
                <w:szCs w:val="20"/>
                <w:lang w:val="en-US" w:eastAsia="zh-CN"/>
              </w:rPr>
              <w:t>技术部</w:t>
            </w:r>
          </w:p>
        </w:tc>
        <w:tc>
          <w:tcPr>
            <w:tcW w:w="6804" w:type="dxa"/>
            <w:vAlign w:val="top"/>
          </w:tcPr>
          <w:p>
            <w:pPr>
              <w:spacing w:line="240" w:lineRule="auto"/>
              <w:jc w:val="both"/>
              <w:rPr>
                <w:rFonts w:ascii="宋体" w:hAnsi="宋体" w:eastAsia="宋体" w:cs="Times New Roman"/>
                <w:b/>
                <w:bCs w:val="0"/>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采购过程相关等过程、销售过程、客户满意等及相应质量管理体系运行过程</w:t>
            </w:r>
            <w:r>
              <w:rPr>
                <w:rFonts w:hint="eastAsia" w:ascii="宋体" w:hAnsi="宋体"/>
                <w:b/>
                <w:bCs w:val="0"/>
                <w:color w:val="000000" w:themeColor="text1"/>
                <w:sz w:val="21"/>
                <w:szCs w:val="21"/>
                <w:lang w:eastAsia="zh-CN"/>
              </w:rPr>
              <w:t>、</w:t>
            </w:r>
            <w:r>
              <w:rPr>
                <w:rFonts w:hint="eastAsia" w:ascii="宋体" w:hAnsi="宋体"/>
                <w:b/>
                <w:bCs w:val="0"/>
                <w:color w:val="000000" w:themeColor="text1"/>
                <w:sz w:val="21"/>
                <w:szCs w:val="21"/>
              </w:rPr>
              <w:t>不合格品控制；监视和测量设备管理；产品验收管理；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eastAsia="宋体" w:cs="Times New Roman"/>
                <w:b/>
                <w:bCs w:val="0"/>
                <w:color w:val="000000" w:themeColor="text1"/>
                <w:kern w:val="2"/>
                <w:sz w:val="20"/>
                <w:szCs w:val="20"/>
                <w:lang w:val="en-US" w:eastAsia="zh-CN" w:bidi="ar-SA"/>
              </w:rPr>
            </w:pPr>
            <w:r>
              <w:rPr>
                <w:rFonts w:hint="eastAsia" w:ascii="宋体" w:hAnsi="宋体"/>
                <w:b/>
                <w:bCs w:val="0"/>
                <w:color w:val="000000"/>
                <w:sz w:val="20"/>
                <w:szCs w:val="20"/>
                <w:lang w:val="en-US" w:eastAsia="zh-CN"/>
              </w:rPr>
              <w:t>生产部</w:t>
            </w:r>
          </w:p>
        </w:tc>
        <w:tc>
          <w:tcPr>
            <w:tcW w:w="6804" w:type="dxa"/>
            <w:vAlign w:val="top"/>
          </w:tcPr>
          <w:p>
            <w:pPr>
              <w:spacing w:line="240" w:lineRule="auto"/>
              <w:jc w:val="left"/>
              <w:rPr>
                <w:rFonts w:ascii="宋体" w:hAnsi="宋体" w:eastAsia="宋体" w:cs="Times New Roman"/>
                <w:b/>
                <w:bCs w:val="0"/>
                <w:color w:val="000000" w:themeColor="text1"/>
                <w:spacing w:val="-20"/>
                <w:kern w:val="2"/>
                <w:sz w:val="20"/>
                <w:szCs w:val="20"/>
                <w:u w:val="single"/>
                <w:lang w:val="en-US" w:eastAsia="zh-CN" w:bidi="ar-SA"/>
              </w:rPr>
            </w:pPr>
            <w:r>
              <w:rPr>
                <w:rFonts w:hint="eastAsia" w:ascii="宋体" w:hAnsi="宋体"/>
                <w:b/>
                <w:bCs w:val="0"/>
                <w:color w:val="000000"/>
                <w:spacing w:val="-20"/>
                <w:sz w:val="21"/>
                <w:szCs w:val="21"/>
              </w:rPr>
              <w:t>基础设施、</w:t>
            </w:r>
            <w:r>
              <w:rPr>
                <w:rFonts w:hint="eastAsia" w:ascii="宋体" w:hAnsi="宋体"/>
                <w:b/>
                <w:bCs w:val="0"/>
                <w:color w:val="000000" w:themeColor="text1"/>
                <w:sz w:val="21"/>
                <w:szCs w:val="21"/>
                <w:lang w:val="en-US" w:eastAsia="zh-CN"/>
              </w:rPr>
              <w:t>生产</w:t>
            </w:r>
            <w:r>
              <w:rPr>
                <w:rFonts w:ascii="宋体" w:hAnsi="宋体"/>
                <w:b/>
                <w:bCs w:val="0"/>
                <w:color w:val="000000" w:themeColor="text1"/>
                <w:sz w:val="21"/>
                <w:szCs w:val="21"/>
              </w:rPr>
              <w:t>过程管理</w:t>
            </w:r>
            <w:r>
              <w:rPr>
                <w:rFonts w:hint="eastAsia" w:ascii="宋体" w:hAnsi="宋体"/>
                <w:b/>
                <w:bCs w:val="0"/>
                <w:color w:val="000000" w:themeColor="text1"/>
                <w:sz w:val="21"/>
                <w:szCs w:val="21"/>
              </w:rPr>
              <w:t>；</w:t>
            </w:r>
            <w:r>
              <w:rPr>
                <w:rFonts w:ascii="宋体" w:hAnsi="宋体"/>
                <w:b/>
                <w:bCs w:val="0"/>
                <w:color w:val="000000" w:themeColor="text1"/>
                <w:sz w:val="21"/>
                <w:szCs w:val="21"/>
              </w:rPr>
              <w:t>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11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spacing w:line="360" w:lineRule="auto"/>
              <w:ind w:firstLine="420" w:firstLineChars="200"/>
              <w:rPr>
                <w:rFonts w:hint="eastAsia"/>
              </w:rPr>
            </w:pPr>
            <w:r>
              <w:rPr>
                <w:rFonts w:hint="eastAsia"/>
                <w:lang w:eastAsia="zh-CN"/>
              </w:rPr>
              <w:t>陕西锦艺电子科技有限公司</w:t>
            </w:r>
            <w:r>
              <w:rPr>
                <w:rFonts w:hint="eastAsia"/>
              </w:rPr>
              <w:t>，成立于20</w:t>
            </w:r>
            <w:r>
              <w:rPr>
                <w:rFonts w:hint="eastAsia"/>
                <w:lang w:val="en-US" w:eastAsia="zh-CN"/>
              </w:rPr>
              <w:t>15</w:t>
            </w:r>
            <w:r>
              <w:rPr>
                <w:rFonts w:hint="eastAsia"/>
              </w:rPr>
              <w:t>年，法人代表</w:t>
            </w:r>
            <w:r>
              <w:rPr>
                <w:rFonts w:hint="eastAsia"/>
                <w:lang w:eastAsia="zh-CN"/>
              </w:rPr>
              <w:t>李蓬军</w:t>
            </w:r>
            <w:r>
              <w:rPr>
                <w:rFonts w:hint="eastAsia"/>
              </w:rPr>
              <w:t>，注册地址：西安市雁塔区电子西街3号西京三号第5幢十四层51409号；经营地址：西安市雁塔区电子二路锦业大厦8-G</w:t>
            </w:r>
            <w:r>
              <w:rPr>
                <w:rFonts w:hint="eastAsia"/>
                <w:lang w:eastAsia="zh-CN"/>
              </w:rPr>
              <w:t>；</w:t>
            </w:r>
            <w:r>
              <w:rPr>
                <w:rFonts w:hint="eastAsia"/>
                <w:lang w:val="en-US" w:eastAsia="zh-CN"/>
              </w:rPr>
              <w:t>生产地址：西安市长安区长安科技园创汇路25号</w:t>
            </w:r>
            <w:r>
              <w:rPr>
                <w:rFonts w:hint="eastAsia"/>
              </w:rPr>
              <w:t>。</w:t>
            </w:r>
          </w:p>
          <w:p>
            <w:pPr>
              <w:spacing w:line="360" w:lineRule="auto"/>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目前主要从事</w:t>
            </w:r>
            <w:r>
              <w:rPr>
                <w:rFonts w:hint="eastAsia" w:ascii="Times New Roman" w:hAnsi="Times New Roman" w:eastAsia="宋体" w:cs="Times New Roman"/>
                <w:lang w:val="en-US" w:eastAsia="zh-CN"/>
              </w:rPr>
              <w:t>机械</w:t>
            </w:r>
            <w:r>
              <w:rPr>
                <w:rFonts w:hint="eastAsia" w:ascii="Times New Roman" w:hAnsi="Times New Roman" w:eastAsia="宋体" w:cs="Times New Roman"/>
                <w:lang w:eastAsia="zh-CN"/>
              </w:rPr>
              <w:t>零部件的</w:t>
            </w:r>
            <w:r>
              <w:rPr>
                <w:rFonts w:hint="eastAsia" w:ascii="Times New Roman" w:hAnsi="Times New Roman" w:eastAsia="宋体" w:cs="Times New Roman"/>
                <w:lang w:val="en-US" w:eastAsia="zh-CN"/>
              </w:rPr>
              <w:t>加工</w:t>
            </w:r>
            <w:r>
              <w:rPr>
                <w:rFonts w:hint="eastAsia" w:ascii="Times New Roman" w:hAnsi="Times New Roman" w:eastAsia="宋体" w:cs="Times New Roman"/>
                <w:lang w:eastAsia="zh-CN"/>
              </w:rPr>
              <w:t>。</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公司以机械加工为主，公司具有完善的管理体系和加工制造能力,是一家长期给军工企业配套的供货单位，并以“加工精度高、质量好、周期短、信守合同”的良好口碑被客户认可信得过产品。</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公司每年根据由公司销售人员从市场、客户、网络等搜集到的信息并结合公司自身业务运作情况进行分析，通过分析对这些内部和外部因素的相关信息进行监视和评审以确保其充分和适宜。</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对组织内外部环境进行了识别:</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外部环境：供应商、顾客、竞争者、政府和社会团体等。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内部环境：物理环境、心理环境、文化环境等。</w:t>
            </w:r>
          </w:p>
          <w:p>
            <w:pPr>
              <w:pStyle w:val="3"/>
            </w:pPr>
            <w:r>
              <w:rPr>
                <w:rFonts w:hint="eastAsia" w:ascii="宋体" w:hAnsi="宋体" w:eastAsia="宋体" w:cs="宋体"/>
                <w:kern w:val="2"/>
                <w:sz w:val="21"/>
                <w:szCs w:val="21"/>
                <w:lang w:val="en-US" w:eastAsia="zh-CN" w:bidi="ar-SA"/>
              </w:rPr>
              <w:t>组织环境识别充分、有效。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360" w:lineRule="auto"/>
              <w:rPr>
                <w:rFonts w:hint="eastAsia"/>
                <w:b w:val="0"/>
                <w:bCs/>
                <w:color w:val="000000" w:themeColor="text1"/>
                <w:sz w:val="20"/>
                <w:szCs w:val="20"/>
              </w:rPr>
            </w:pPr>
            <w:r>
              <w:rPr>
                <w:rFonts w:hint="eastAsia"/>
                <w:b w:val="0"/>
                <w:bCs/>
                <w:color w:val="000000" w:themeColor="text1"/>
                <w:sz w:val="20"/>
                <w:szCs w:val="20"/>
              </w:rPr>
              <w:t>公司识别并确定了利益相关方：顾客、外部供应商、员工及其他为本公司工作的人员或组织等。</w:t>
            </w:r>
          </w:p>
          <w:p>
            <w:pPr>
              <w:spacing w:line="360" w:lineRule="auto"/>
              <w:rPr>
                <w:b/>
                <w:color w:val="000000" w:themeColor="text1"/>
                <w:sz w:val="20"/>
                <w:szCs w:val="20"/>
              </w:rPr>
            </w:pPr>
            <w:r>
              <w:rPr>
                <w:rFonts w:hint="eastAsia"/>
                <w:b w:val="0"/>
                <w:bCs/>
                <w:color w:val="000000" w:themeColor="text1"/>
                <w:sz w:val="20"/>
                <w:szCs w:val="20"/>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szCs w:val="21"/>
              </w:rPr>
              <w:t>技术创新   规范服务</w:t>
            </w:r>
            <w:r>
              <w:rPr>
                <w:rFonts w:hint="eastAsia" w:ascii="宋体" w:hAnsi="宋体"/>
                <w:szCs w:val="21"/>
                <w:lang w:val="en-US" w:eastAsia="zh-CN"/>
              </w:rPr>
              <w:t xml:space="preserve">  </w:t>
            </w:r>
            <w:r>
              <w:rPr>
                <w:rFonts w:hint="eastAsia" w:ascii="宋体" w:hAnsi="宋体"/>
                <w:szCs w:val="21"/>
              </w:rPr>
              <w:t>持续改进   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360" w:lineRule="auto"/>
              <w:ind w:left="0" w:leftChars="0" w:firstLine="0" w:firstLineChars="0"/>
              <w:rPr>
                <w:b/>
                <w:color w:val="000000" w:themeColor="text1"/>
              </w:rPr>
            </w:pPr>
            <w:r>
              <w:rPr>
                <w:rFonts w:hint="eastAsia"/>
                <w:b w:val="0"/>
                <w:bCs/>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质量管理体系过程有：</w:t>
            </w:r>
            <w:r>
              <w:rPr>
                <w:rFonts w:hint="eastAsia" w:ascii="宋体" w:hAnsi="宋体" w:cs="Times New Roman"/>
                <w:b/>
                <w:color w:val="auto"/>
                <w:sz w:val="20"/>
                <w:szCs w:val="20"/>
                <w:lang w:val="en-US" w:eastAsia="zh-CN"/>
              </w:rPr>
              <w:t xml:space="preserve">机械零部件的加工 </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w:t>
            </w:r>
            <w:r>
              <w:rPr>
                <w:rFonts w:hint="eastAsia" w:ascii="宋体" w:hAnsi="宋体"/>
                <w:b/>
                <w:color w:val="auto"/>
                <w:sz w:val="20"/>
                <w:szCs w:val="20"/>
                <w:u w:val="single"/>
                <w:lang w:val="en-US" w:eastAsia="zh-CN"/>
              </w:rPr>
              <w:t>无</w:t>
            </w:r>
            <w:r>
              <w:rPr>
                <w:rFonts w:hint="eastAsia" w:ascii="宋体" w:hAnsi="宋体"/>
                <w:b/>
                <w:color w:val="auto"/>
                <w:sz w:val="20"/>
                <w:szCs w:val="20"/>
                <w:u w:val="single"/>
                <w:lang w:eastAsia="zh-CN"/>
              </w:rPr>
              <w:t>，</w:t>
            </w:r>
          </w:p>
          <w:p>
            <w:pPr>
              <w:tabs>
                <w:tab w:val="left" w:pos="540"/>
              </w:tabs>
              <w:spacing w:line="360" w:lineRule="auto"/>
              <w:ind w:left="201" w:hanging="201" w:hangingChars="100"/>
              <w:rPr>
                <w:rFonts w:hint="default" w:ascii="宋体" w:hAnsi="宋体"/>
                <w:b/>
                <w:color w:val="auto"/>
                <w:sz w:val="20"/>
                <w:szCs w:val="20"/>
                <w:u w:val="single"/>
                <w:lang w:val="en-US"/>
              </w:rPr>
            </w:pPr>
            <w:r>
              <w:rPr>
                <w:rFonts w:hint="eastAsia" w:ascii="宋体" w:hAnsi="宋体"/>
                <w:b/>
                <w:color w:val="auto"/>
                <w:sz w:val="20"/>
                <w:szCs w:val="20"/>
              </w:rPr>
              <w:t xml:space="preserve">需要确认过程  </w:t>
            </w:r>
            <w:r>
              <w:rPr>
                <w:rFonts w:hint="eastAsia" w:ascii="宋体" w:hAnsi="宋体"/>
                <w:b/>
                <w:color w:val="auto"/>
                <w:sz w:val="20"/>
                <w:szCs w:val="20"/>
                <w:u w:val="single"/>
                <w:lang w:val="en-US" w:eastAsia="zh-CN"/>
              </w:rPr>
              <w:t>无</w:t>
            </w:r>
          </w:p>
          <w:p>
            <w:pPr>
              <w:tabs>
                <w:tab w:val="left" w:pos="540"/>
              </w:tabs>
              <w:spacing w:line="300" w:lineRule="exact"/>
              <w:ind w:left="201" w:hanging="201" w:hangingChars="100"/>
              <w:rPr>
                <w:rFonts w:ascii="宋体" w:hAnsi="宋体"/>
                <w:b/>
                <w:color w:val="auto"/>
                <w:sz w:val="20"/>
                <w:szCs w:val="20"/>
              </w:rPr>
            </w:pPr>
            <w:r>
              <w:rPr>
                <w:rFonts w:hint="eastAsia" w:ascii="宋体" w:hAnsi="宋体"/>
                <w:b/>
                <w:color w:val="auto"/>
                <w:sz w:val="20"/>
                <w:szCs w:val="20"/>
              </w:rPr>
              <w:t xml:space="preserve">不适用条款是  </w:t>
            </w:r>
            <w:r>
              <w:rPr>
                <w:rFonts w:hint="eastAsia" w:ascii="宋体" w:hAnsi="宋体"/>
                <w:b/>
                <w:color w:val="auto"/>
                <w:sz w:val="20"/>
                <w:szCs w:val="20"/>
                <w:u w:val="single"/>
                <w:lang w:val="en-US" w:eastAsia="zh-CN"/>
              </w:rPr>
              <w:t>无</w:t>
            </w:r>
            <w:r>
              <w:rPr>
                <w:rFonts w:hint="eastAsia" w:ascii="宋体" w:hAnsi="宋体"/>
                <w:b/>
                <w:color w:val="auto"/>
                <w:sz w:val="20"/>
                <w:szCs w:val="20"/>
              </w:rPr>
              <w:t xml:space="preserve"> ，不适用理由： </w:t>
            </w:r>
          </w:p>
          <w:p>
            <w:pPr>
              <w:tabs>
                <w:tab w:val="left" w:pos="540"/>
              </w:tabs>
              <w:spacing w:line="300" w:lineRule="exact"/>
              <w:ind w:left="211" w:leftChars="0"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hint="eastAsia" w:ascii="宋体" w:hAnsi="宋体" w:eastAsia="宋体" w:cs="宋体"/>
                <w:szCs w:val="22"/>
              </w:rPr>
            </w:pPr>
            <w:r>
              <w:rPr>
                <w:rFonts w:hint="eastAsia" w:ascii="宋体" w:hAnsi="宋体" w:eastAsia="宋体" w:cs="宋体"/>
                <w:szCs w:val="22"/>
              </w:rPr>
              <w:t>1. 产品一次检验合格率            ≥95％</w:t>
            </w:r>
          </w:p>
          <w:p>
            <w:pPr>
              <w:spacing w:line="360" w:lineRule="auto"/>
              <w:rPr>
                <w:rFonts w:hint="eastAsia" w:ascii="宋体" w:hAnsi="宋体" w:eastAsia="宋体" w:cs="宋体"/>
                <w:szCs w:val="22"/>
              </w:rPr>
            </w:pPr>
            <w:r>
              <w:rPr>
                <w:rFonts w:hint="eastAsia" w:ascii="宋体" w:hAnsi="宋体" w:eastAsia="宋体" w:cs="宋体"/>
                <w:szCs w:val="22"/>
              </w:rPr>
              <w:t>2. 顾客满意度                    ≥90分</w:t>
            </w:r>
          </w:p>
          <w:p>
            <w:pPr>
              <w:spacing w:line="360" w:lineRule="auto"/>
              <w:rPr>
                <w:rFonts w:ascii="宋体" w:hAnsi="宋体"/>
                <w:b/>
                <w:color w:val="000000" w:themeColor="text1"/>
              </w:rPr>
            </w:pPr>
            <w:r>
              <w:rPr>
                <w:rFonts w:hint="eastAsia" w:ascii="宋体" w:hAnsi="宋体" w:eastAsia="宋体" w:cs="宋体"/>
                <w:szCs w:val="22"/>
              </w:rPr>
              <w:t>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公司按照申请认证的标准要求，建立并形成了文件化的质量管理体系文件，体系文件对管理体系各过程进行了识别确定、明确了各要素间的相互关系及其管控要求。公司体系文件于2020年</w:t>
            </w:r>
            <w:r>
              <w:rPr>
                <w:rFonts w:hint="eastAsia" w:ascii="宋体" w:hAnsi="宋体"/>
                <w:b w:val="0"/>
                <w:bCs/>
                <w:color w:val="000000" w:themeColor="text1"/>
                <w:sz w:val="20"/>
                <w:szCs w:val="20"/>
                <w:lang w:val="en-US" w:eastAsia="zh-CN"/>
              </w:rPr>
              <w:t>9</w:t>
            </w:r>
            <w:r>
              <w:rPr>
                <w:rFonts w:hint="eastAsia" w:ascii="宋体" w:hAnsi="宋体"/>
                <w:b w:val="0"/>
                <w:bCs/>
                <w:color w:val="000000" w:themeColor="text1"/>
                <w:sz w:val="20"/>
                <w:szCs w:val="20"/>
              </w:rPr>
              <w:t>月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lang w:val="en-US" w:eastAsia="zh-CN"/>
              </w:rPr>
              <w:t xml:space="preserve"> </w:t>
            </w:r>
            <w:r>
              <w:rPr>
                <w:rFonts w:hint="eastAsia" w:ascii="宋体" w:hAnsi="宋体"/>
                <w:b/>
                <w:color w:val="000000" w:themeColor="text1"/>
                <w:sz w:val="20"/>
                <w:szCs w:val="20"/>
              </w:rPr>
              <w:t>:</w:t>
            </w:r>
          </w:p>
          <w:p>
            <w:pPr>
              <w:spacing w:line="360" w:lineRule="auto"/>
              <w:ind w:firstLine="400" w:firstLineChars="200"/>
              <w:rPr>
                <w:rFonts w:hint="eastAsia" w:ascii="宋体" w:hAnsi="宋体"/>
                <w:b w:val="0"/>
                <w:bCs/>
                <w:color w:val="000000" w:themeColor="text1"/>
                <w:sz w:val="20"/>
                <w:szCs w:val="20"/>
              </w:rPr>
            </w:pPr>
            <w:r>
              <w:rPr>
                <w:rFonts w:hint="eastAsia" w:ascii="宋体" w:hAnsi="宋体"/>
                <w:b w:val="0"/>
                <w:bCs/>
                <w:color w:val="000000" w:themeColor="text1"/>
                <w:sz w:val="20"/>
                <w:szCs w:val="20"/>
              </w:rPr>
              <w:t>组织按管理体系需求配置了充足的人员、设施、监视和测量设备等资源，并建立维持了产品的生产及相关服务运行环境，可以维持管理体系的正常运行。</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hint="eastAsia" w:ascii="宋体" w:hAnsi="宋体"/>
                <w:szCs w:val="21"/>
              </w:rPr>
            </w:pPr>
            <w:r>
              <w:rPr>
                <w:rFonts w:hint="eastAsia" w:ascii="宋体" w:hAnsi="宋体" w:eastAsia="宋体" w:cs="宋体"/>
                <w:sz w:val="21"/>
                <w:szCs w:val="21"/>
                <w:lang w:val="en-US" w:eastAsia="zh-CN"/>
              </w:rPr>
              <w:t>设备设施：加工中心、数控车床、磨床、钻床等</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办公设备：电脑 、打印复印一体机、传真机、电话机，</w:t>
            </w:r>
            <w:r>
              <w:rPr>
                <w:rFonts w:hint="eastAsia" w:ascii="宋体" w:hAnsi="宋体" w:eastAsia="宋体" w:cs="宋体"/>
                <w:sz w:val="21"/>
                <w:szCs w:val="21"/>
              </w:rPr>
              <w:t>目前</w:t>
            </w:r>
            <w:r>
              <w:rPr>
                <w:rFonts w:hint="eastAsia" w:ascii="宋体" w:hAnsi="宋体" w:eastAsia="宋体" w:cs="宋体"/>
                <w:sz w:val="21"/>
                <w:szCs w:val="21"/>
                <w:lang w:val="en-US" w:eastAsia="zh-CN"/>
              </w:rPr>
              <w:t>生产、</w:t>
            </w:r>
            <w:r>
              <w:rPr>
                <w:rFonts w:hint="eastAsia" w:ascii="宋体" w:hAnsi="宋体" w:eastAsia="宋体" w:cs="宋体"/>
                <w:sz w:val="21"/>
                <w:szCs w:val="21"/>
              </w:rPr>
              <w:t>办公室等，经过管理体系运行证明，现有资源可满足体系和</w:t>
            </w:r>
            <w:r>
              <w:rPr>
                <w:rFonts w:hint="eastAsia" w:ascii="宋体" w:hAnsi="宋体" w:cs="宋体"/>
                <w:sz w:val="21"/>
                <w:szCs w:val="21"/>
                <w:lang w:val="en-US" w:eastAsia="zh-CN"/>
              </w:rPr>
              <w:t>生产</w:t>
            </w:r>
            <w:r>
              <w:rPr>
                <w:rFonts w:hint="eastAsia" w:ascii="宋体" w:hAnsi="宋体" w:eastAsia="宋体" w:cs="宋体"/>
                <w:sz w:val="21"/>
                <w:szCs w:val="21"/>
              </w:rPr>
              <w:t>的要求</w:t>
            </w:r>
            <w:r>
              <w:rPr>
                <w:rFonts w:hint="eastAsia" w:ascii="宋体" w:hAnsi="宋体"/>
                <w:szCs w:val="21"/>
                <w:lang w:eastAsia="zh-CN"/>
              </w:rPr>
              <w:t>，</w:t>
            </w:r>
            <w:r>
              <w:rPr>
                <w:rFonts w:hint="eastAsia" w:ascii="宋体" w:hAnsi="宋体"/>
                <w:szCs w:val="21"/>
              </w:rPr>
              <w:t>对设备按月方式进行点检维护保养，并实施。</w:t>
            </w:r>
          </w:p>
          <w:p>
            <w:pPr>
              <w:spacing w:line="360" w:lineRule="auto"/>
              <w:rPr>
                <w:rFonts w:ascii="宋体" w:hAnsi="宋体"/>
                <w:b/>
                <w:color w:val="000000" w:themeColor="text1"/>
                <w:sz w:val="20"/>
                <w:szCs w:val="20"/>
              </w:rPr>
            </w:pPr>
            <w:r>
              <w:rPr>
                <w:rFonts w:hint="eastAsia" w:ascii="宋体" w:hAnsi="宋体"/>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车间内设备布置合理，通道部分不畅通，照明设施齐全，均配备了电风扇、消防设施等设施，作业场所光线较充足。生产区域对环境要求不高，目前工作环境符合生产需要。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360" w:lineRule="auto"/>
              <w:rPr>
                <w:rFonts w:hint="eastAsia" w:ascii="宋体" w:hAnsi="宋体"/>
                <w:b/>
                <w:color w:val="000000" w:themeColor="text1"/>
                <w:sz w:val="20"/>
                <w:szCs w:val="20"/>
              </w:rPr>
            </w:pPr>
            <w:r>
              <w:rPr>
                <w:rFonts w:hint="eastAsia"/>
                <w:szCs w:val="22"/>
              </w:rPr>
              <w:t>生产车间均按策划的要求配置了相应的检测设备，均采用委外送检的方式。主要检测设备有游标卡尺、千分尺、高度尺、深度尺</w:t>
            </w:r>
            <w:r>
              <w:rPr>
                <w:rFonts w:hint="eastAsia" w:ascii="宋体" w:hAnsi="宋体"/>
                <w:szCs w:val="21"/>
              </w:rPr>
              <w:t>等</w:t>
            </w:r>
            <w:r>
              <w:rPr>
                <w:rFonts w:hint="eastAsia"/>
                <w:szCs w:val="22"/>
              </w:rPr>
              <w:t>。</w:t>
            </w:r>
            <w:r>
              <w:rPr>
                <w:rFonts w:hint="eastAsia" w:ascii="宋体" w:hAnsi="宋体"/>
                <w:szCs w:val="21"/>
              </w:rPr>
              <w:t>均能提供在用量具的有效检定或校准证。</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rPr>
                <w:rFonts w:hint="eastAsia" w:ascii="宋体" w:hAnsi="宋体"/>
                <w:b w:val="0"/>
                <w:bCs/>
                <w:color w:val="000000" w:themeColor="text1"/>
                <w:sz w:val="20"/>
                <w:szCs w:val="20"/>
              </w:rPr>
            </w:pPr>
            <w:r>
              <w:rPr>
                <w:rFonts w:hint="eastAsia" w:ascii="宋体" w:hAnsi="宋体"/>
                <w:b w:val="0"/>
                <w:bCs/>
                <w:color w:val="000000" w:themeColor="text1"/>
                <w:sz w:val="20"/>
                <w:szCs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网络信息，从顾客或外部供方收集的知识）。</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leftChars="0"/>
              <w:rPr>
                <w:b/>
                <w:color w:val="000000" w:themeColor="text1"/>
                <w:sz w:val="20"/>
                <w:szCs w:val="20"/>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szCs w:val="21"/>
              </w:rPr>
              <w:t>质量为本、顾客至上、持续改进、追求最佳。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内部沟通的效果：</w:t>
            </w:r>
            <w:r>
              <w:rPr>
                <w:rFonts w:hint="eastAsia" w:ascii="宋体" w:hAnsi="宋体" w:eastAsia="宋体" w:cs="宋体"/>
                <w:color w:val="000000"/>
                <w:sz w:val="21"/>
                <w:szCs w:val="21"/>
              </w:rPr>
              <w:t>良好</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color w:val="000000"/>
                <w:sz w:val="21"/>
                <w:szCs w:val="21"/>
              </w:rPr>
              <w:t>采取顾客满意度调查方式了解顾客感受。</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OHSMS事务代表协商和交流的情况（OHSMS填写）：</w:t>
            </w:r>
          </w:p>
          <w:p>
            <w:pPr>
              <w:spacing w:line="360" w:lineRule="auto"/>
              <w:rPr>
                <w:rFonts w:ascii="楷体_GB2312" w:eastAsia="楷体_GB2312"/>
                <w:b/>
                <w:color w:val="000000" w:themeColor="text1"/>
                <w:szCs w:val="21"/>
              </w:rPr>
            </w:pPr>
            <w:r>
              <w:rPr>
                <w:rFonts w:hint="eastAsia" w:ascii="宋体" w:hAnsi="宋体" w:eastAsia="宋体" w:cs="宋体"/>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b/>
                <w:color w:val="000000" w:themeColor="text1"/>
                <w:sz w:val="20"/>
                <w:szCs w:val="20"/>
              </w:rPr>
            </w:pPr>
            <w:r>
              <w:rPr>
                <w:rFonts w:hint="eastAsia"/>
                <w:b w:val="0"/>
                <w:bCs/>
                <w:color w:val="000000" w:themeColor="text1"/>
                <w:sz w:val="20"/>
                <w:szCs w:val="20"/>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企业产品单一，客户固定，无关键工序和特殊过程，能力满足要求。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企业参考国家行业主要有：一般公差 未注公差的线性和角度尺寸的公差GB/T 1804-2000、形状和位置公差 未注公差值GB/T 1184-1996、零件倒圆与倒角GB/T 6403.4-2008、产品几何技术规范（GPS）几何公差 形状、方向、位置和跳动公差标注GB/T 1182-2008、普通螺纹 基本尺寸GB/T 196-2003、机械加工工艺装备基本术语GB/T 1008-2008、技术产品文件 机械加工定位、夹紧符号表示法GB/T 24740-2009</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产品</w:t>
            </w:r>
            <w:r>
              <w:rPr>
                <w:rFonts w:hint="eastAsia" w:ascii="宋体" w:hAnsi="宋体" w:eastAsia="宋体" w:cs="宋体"/>
                <w:b w:val="0"/>
                <w:bCs w:val="0"/>
                <w:sz w:val="21"/>
                <w:szCs w:val="21"/>
              </w:rPr>
              <w:t>图纸和客户要求。</w:t>
            </w:r>
          </w:p>
          <w:p>
            <w:pPr>
              <w:spacing w:line="300" w:lineRule="exact"/>
              <w:rPr>
                <w:rFonts w:hint="eastAsia" w:ascii="宋体" w:hAnsi="宋体" w:eastAsia="宋体" w:cs="宋体"/>
                <w:b w:val="0"/>
                <w:bCs w:val="0"/>
                <w:color w:val="000000" w:themeColor="text1"/>
                <w:sz w:val="21"/>
                <w:szCs w:val="21"/>
              </w:rPr>
            </w:pPr>
            <w:r>
              <w:rPr>
                <w:rFonts w:hint="eastAsia" w:ascii="宋体" w:hAnsi="宋体" w:eastAsia="宋体" w:cs="宋体"/>
                <w:b w:val="0"/>
                <w:bCs w:val="0"/>
                <w:sz w:val="21"/>
                <w:szCs w:val="21"/>
              </w:rPr>
              <w:t>提供了产品检验记录，产品检验合格，满足顾客要求。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rFonts w:hint="eastAsia"/>
                <w:b w:val="0"/>
                <w:bCs/>
                <w:color w:val="000000" w:themeColor="text1"/>
                <w:sz w:val="20"/>
                <w:szCs w:val="20"/>
              </w:rPr>
              <w:t>提供的《不合格品控制程序》中规定了对不合格品的标识、记录、隔离、记录和处置的控制要求。采购检验中发现的不合格，要求做好相应的标识，并及时通知采购人员作退/换货处理。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rPr>
                <w:b/>
                <w:color w:val="000000" w:themeColor="text1"/>
                <w:sz w:val="20"/>
                <w:szCs w:val="20"/>
              </w:rPr>
            </w:pPr>
            <w:r>
              <w:rPr>
                <w:rFonts w:hint="eastAsia"/>
                <w:b/>
                <w:color w:val="000000" w:themeColor="text1"/>
                <w:sz w:val="20"/>
                <w:szCs w:val="20"/>
                <w:lang w:val="en-US" w:eastAsia="zh-CN"/>
              </w:rPr>
              <w:t>无</w:t>
            </w:r>
            <w:r>
              <w:rPr>
                <w:rFonts w:hint="eastAsia"/>
                <w:b/>
                <w:color w:val="000000" w:themeColor="text1"/>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360" w:lineRule="auto"/>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-12月目标的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4"/>
              </w:numPr>
              <w:spacing w:line="360" w:lineRule="auto"/>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105" w:leftChars="-50" w:firstLine="0" w:firstLineChars="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1日统计</w:t>
            </w:r>
            <w:r>
              <w:rPr>
                <w:rFonts w:hint="eastAsia" w:ascii="宋体" w:hAnsi="宋体" w:cs="宋体"/>
                <w:color w:val="000000" w:themeColor="text1"/>
                <w:szCs w:val="21"/>
              </w:rPr>
              <w:t>，满意度评价达</w:t>
            </w:r>
            <w:r>
              <w:rPr>
                <w:rFonts w:hint="eastAsia" w:ascii="宋体" w:hAnsi="宋体" w:cs="宋体"/>
                <w:color w:val="000000" w:themeColor="text1"/>
                <w:szCs w:val="21"/>
                <w:lang w:val="en-US" w:eastAsia="zh-CN"/>
              </w:rPr>
              <w:t>92.5</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pPr>
              <w:spacing w:line="360" w:lineRule="auto"/>
              <w:jc w:val="left"/>
              <w:rPr>
                <w:b/>
                <w:color w:val="000000" w:themeColor="text1"/>
                <w:sz w:val="20"/>
                <w:szCs w:val="20"/>
              </w:rPr>
            </w:pPr>
            <w:r>
              <w:rPr>
                <w:b/>
                <w:color w:val="000000" w:themeColor="text1"/>
                <w:sz w:val="20"/>
                <w:szCs w:val="20"/>
              </w:rPr>
              <w:t xml:space="preserve"> </w:t>
            </w:r>
            <w:r>
              <w:rPr>
                <w:rFonts w:hint="eastAsia" w:ascii="宋体" w:hAnsi="宋体" w:cs="宋体"/>
                <w:szCs w:val="22"/>
              </w:rPr>
              <w:t xml:space="preserve"> 每年一次，本次2020.</w:t>
            </w:r>
            <w:r>
              <w:rPr>
                <w:rFonts w:hint="eastAsia" w:ascii="宋体" w:hAnsi="宋体" w:cs="宋体"/>
                <w:szCs w:val="22"/>
                <w:lang w:val="en-US" w:eastAsia="zh-CN"/>
              </w:rPr>
              <w:t>12</w:t>
            </w:r>
            <w:r>
              <w:rPr>
                <w:rFonts w:hint="eastAsia" w:ascii="宋体" w:hAnsi="宋体" w:cs="宋体"/>
                <w:szCs w:val="22"/>
              </w:rPr>
              <w:t>.</w:t>
            </w:r>
            <w:r>
              <w:rPr>
                <w:rFonts w:hint="eastAsia" w:ascii="宋体" w:hAnsi="宋体" w:cs="宋体"/>
                <w:szCs w:val="22"/>
                <w:lang w:val="en-US" w:eastAsia="zh-CN"/>
              </w:rPr>
              <w:t>15</w:t>
            </w:r>
            <w:r>
              <w:rPr>
                <w:rFonts w:hint="eastAsia" w:ascii="宋体" w:hAnsi="宋体" w:cs="宋体"/>
                <w:szCs w:val="22"/>
              </w:rPr>
              <w:t>-</w:t>
            </w:r>
            <w:r>
              <w:rPr>
                <w:rFonts w:hint="eastAsia" w:ascii="宋体" w:hAnsi="宋体" w:cs="宋体"/>
                <w:szCs w:val="22"/>
                <w:lang w:val="en-US" w:eastAsia="zh-CN"/>
              </w:rPr>
              <w:t>12</w:t>
            </w:r>
            <w:r>
              <w:rPr>
                <w:rFonts w:hint="eastAsia" w:ascii="宋体" w:hAnsi="宋体" w:cs="宋体"/>
                <w:szCs w:val="22"/>
              </w:rPr>
              <w:t>.</w:t>
            </w:r>
            <w:r>
              <w:rPr>
                <w:rFonts w:hint="eastAsia" w:ascii="宋体" w:hAnsi="宋体" w:cs="宋体"/>
                <w:szCs w:val="22"/>
                <w:lang w:val="en-US" w:eastAsia="zh-CN"/>
              </w:rPr>
              <w:t>16</w:t>
            </w:r>
            <w:r>
              <w:rPr>
                <w:rFonts w:hint="eastAsia" w:ascii="宋体" w:hAnsi="宋体" w:cs="宋体"/>
                <w:szCs w:val="22"/>
              </w:rPr>
              <w:t>日内审。</w:t>
            </w:r>
          </w:p>
          <w:p>
            <w:pPr>
              <w:spacing w:line="360" w:lineRule="auto"/>
              <w:rPr>
                <w:b/>
                <w:color w:val="000000" w:themeColor="text1"/>
                <w:sz w:val="20"/>
                <w:szCs w:val="20"/>
              </w:rPr>
            </w:pPr>
            <w:r>
              <w:rPr>
                <w:rFonts w:hint="eastAsia"/>
                <w:b/>
                <w:color w:val="000000" w:themeColor="text1"/>
                <w:sz w:val="20"/>
                <w:szCs w:val="20"/>
              </w:rPr>
              <w:t>了解内审是否覆盖了管理体系范围内的活动及标准的要求</w:t>
            </w:r>
            <w:r>
              <w:rPr>
                <w:b/>
                <w:color w:val="000000" w:themeColor="text1"/>
                <w:sz w:val="20"/>
                <w:szCs w:val="20"/>
              </w:rPr>
              <w:t xml:space="preserve">; </w:t>
            </w:r>
          </w:p>
          <w:p>
            <w:pPr>
              <w:spacing w:line="360" w:lineRule="auto"/>
              <w:ind w:firstLine="210" w:firstLineChars="100"/>
              <w:rPr>
                <w:rFonts w:asciiTheme="minorEastAsia" w:hAnsiTheme="minorEastAsia" w:eastAsiaTheme="minorEastAsia"/>
                <w:szCs w:val="22"/>
              </w:rPr>
            </w:pPr>
            <w:r>
              <w:rPr>
                <w:rFonts w:hint="eastAsia" w:asciiTheme="minorEastAsia" w:hAnsiTheme="minorEastAsia" w:eastAsiaTheme="minorEastAsia"/>
                <w:szCs w:val="22"/>
              </w:rPr>
              <w:t>覆盖。</w:t>
            </w:r>
          </w:p>
          <w:p>
            <w:pPr>
              <w:spacing w:line="360" w:lineRule="auto"/>
              <w:rPr>
                <w:b/>
                <w:color w:val="000000" w:themeColor="text1"/>
                <w:sz w:val="20"/>
                <w:szCs w:val="20"/>
              </w:rPr>
            </w:pPr>
            <w:r>
              <w:rPr>
                <w:rFonts w:hint="eastAsia"/>
                <w:b/>
                <w:color w:val="000000" w:themeColor="text1"/>
                <w:sz w:val="20"/>
                <w:szCs w:val="20"/>
              </w:rPr>
              <w:t>了解内审结论是什么？</w:t>
            </w:r>
          </w:p>
          <w:p>
            <w:pPr>
              <w:spacing w:line="360" w:lineRule="auto"/>
              <w:rPr>
                <w:b/>
                <w:color w:val="000000" w:themeColor="text1"/>
                <w:spacing w:val="-8"/>
                <w:sz w:val="20"/>
                <w:szCs w:val="20"/>
              </w:rPr>
            </w:pPr>
            <w:r>
              <w:rPr>
                <w:rFonts w:hint="eastAsia" w:asciiTheme="minorEastAsia" w:hAnsiTheme="minorEastAsia" w:eastAsiaTheme="minorEastAsia"/>
                <w:szCs w:val="22"/>
              </w:rPr>
              <w:t>本公司质量管理体系符合公司管理手册、程序性文件、</w:t>
            </w:r>
            <w:r>
              <w:rPr>
                <w:rFonts w:hint="eastAsia" w:asciiTheme="minorEastAsia" w:hAnsiTheme="minorEastAsia" w:eastAsiaTheme="minorEastAsia"/>
                <w:szCs w:val="22"/>
                <w:lang w:val="en-US" w:eastAsia="zh-CN"/>
              </w:rPr>
              <w:t>GB/T19001-2015</w:t>
            </w:r>
            <w:r>
              <w:rPr>
                <w:rFonts w:hint="eastAsia" w:asciiTheme="minorEastAsia" w:hAnsiTheme="minorEastAsia" w:eastAsiaTheme="minorEastAsia"/>
                <w:szCs w:val="22"/>
              </w:rPr>
              <w:t>的要求，本公司质量管理体系得到了有效实施，运行实施保持了适宜性。</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每年一次，2020.</w:t>
            </w:r>
            <w:r>
              <w:rPr>
                <w:rFonts w:hint="eastAsia" w:ascii="宋体" w:hAnsi="宋体" w:cs="宋体"/>
                <w:szCs w:val="22"/>
                <w:lang w:val="en-US" w:eastAsia="zh-CN"/>
              </w:rPr>
              <w:t>12</w:t>
            </w:r>
            <w:r>
              <w:rPr>
                <w:rFonts w:hint="eastAsia" w:ascii="宋体" w:hAnsi="宋体" w:cs="宋体"/>
                <w:szCs w:val="22"/>
              </w:rPr>
              <w:t>.</w:t>
            </w:r>
            <w:r>
              <w:rPr>
                <w:rFonts w:hint="eastAsia" w:ascii="宋体" w:hAnsi="宋体" w:cs="宋体"/>
                <w:szCs w:val="22"/>
                <w:lang w:val="en-US" w:eastAsia="zh-CN"/>
              </w:rPr>
              <w:t>30</w:t>
            </w:r>
            <w:r>
              <w:rPr>
                <w:rFonts w:hint="eastAsia" w:ascii="宋体" w:hAnsi="宋体" w:cs="宋体"/>
                <w:szCs w:val="22"/>
              </w:rPr>
              <w:t>日管理评审。</w:t>
            </w:r>
          </w:p>
          <w:p>
            <w:pPr>
              <w:spacing w:line="360" w:lineRule="auto"/>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输入基本充分。</w:t>
            </w:r>
          </w:p>
          <w:p>
            <w:pPr>
              <w:spacing w:line="360" w:lineRule="auto"/>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pPr>
              <w:spacing w:line="360" w:lineRule="auto"/>
              <w:rPr>
                <w:b/>
                <w:color w:val="000000" w:themeColor="text1"/>
                <w:sz w:val="20"/>
                <w:szCs w:val="20"/>
              </w:rPr>
            </w:pPr>
            <w:r>
              <w:rPr>
                <w:rFonts w:hint="eastAsia" w:asciiTheme="minorEastAsia" w:hAnsiTheme="minorEastAsia" w:eastAsiaTheme="minorEastAsia"/>
                <w:szCs w:val="22"/>
              </w:rPr>
              <w:t>管理体系文件运行是有效的，方针和目标的贯彻是有效的。没有发生质量投诉，运行符合法律法规的要求。领导的重视为体系的运行创造了有利条件。为保证</w:t>
            </w:r>
            <w:r>
              <w:rPr>
                <w:rFonts w:hint="eastAsia" w:asciiTheme="minorEastAsia" w:hAnsiTheme="minorEastAsia" w:eastAsiaTheme="minorEastAsia"/>
                <w:szCs w:val="22"/>
                <w:lang w:val="en-US" w:eastAsia="zh-CN"/>
              </w:rPr>
              <w:t>质量</w:t>
            </w:r>
            <w:r>
              <w:rPr>
                <w:rFonts w:hint="eastAsia" w:asciiTheme="minorEastAsia" w:hAnsiTheme="minorEastAsia" w:eastAsiaTheme="minorEastAsia"/>
                <w:szCs w:val="22"/>
              </w:rPr>
              <w:t>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b/>
                <w:color w:val="000000" w:themeColor="text1"/>
                <w:spacing w:val="-20"/>
                <w:sz w:val="20"/>
                <w:szCs w:val="20"/>
              </w:rPr>
              <w:t xml:space="preserve">  </w:t>
            </w:r>
            <w:r>
              <w:rPr>
                <w:rFonts w:hint="eastAsia" w:ascii="Times New Roman" w:hAnsi="Times New Roman" w:eastAsia="宋体" w:cs="Times New Roman"/>
                <w:bCs/>
                <w:color w:val="000000" w:themeColor="text1"/>
                <w:szCs w:val="21"/>
              </w:rPr>
              <w:t>一阶段提出的问题已整改完成。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360" w:lineRule="auto"/>
              <w:ind w:left="-105" w:leftChars="-50" w:firstLine="402" w:firstLineChars="20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360" w:lineRule="auto"/>
              <w:rPr>
                <w:b/>
                <w:color w:val="000000" w:themeColor="text1"/>
                <w:sz w:val="28"/>
                <w:szCs w:val="28"/>
              </w:rPr>
            </w:pPr>
            <w:r>
              <w:rPr>
                <w:rFonts w:hint="eastAsia" w:ascii="宋体" w:hAnsi="宋体" w:cs="宋体"/>
                <w:bCs/>
                <w:color w:val="000000" w:themeColor="text1"/>
                <w:szCs w:val="21"/>
              </w:rPr>
              <w:t>组织体系运行满足标准要求，既定目标能达成，向顾客提供稳定、合格产品，满足适用的质量法规要求，实施措施基本有效。体系运行基本适宜、充分、有效，基本建立自我完善机制。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default"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b/>
                <w:color w:val="000000" w:themeColor="text1"/>
                <w:lang w:val="en-US" w:eastAsia="zh-CN"/>
              </w:rPr>
              <w:t xml:space="preserve"> 机械零部件加工</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59264" behindDoc="0" locked="0" layoutInCell="1" allowOverlap="1">
            <wp:simplePos x="0" y="0"/>
            <wp:positionH relativeFrom="column">
              <wp:posOffset>1518920</wp:posOffset>
            </wp:positionH>
            <wp:positionV relativeFrom="paragraph">
              <wp:posOffset>210820</wp:posOffset>
            </wp:positionV>
            <wp:extent cx="804545" cy="667385"/>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6"/>
                    <a:stretch>
                      <a:fillRect/>
                    </a:stretch>
                  </pic:blipFill>
                  <pic:spPr>
                    <a:xfrm>
                      <a:off x="0" y="0"/>
                      <a:ext cx="804545" cy="66738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0288" behindDoc="0" locked="0" layoutInCell="1" allowOverlap="1">
            <wp:simplePos x="0" y="0"/>
            <wp:positionH relativeFrom="column">
              <wp:posOffset>1569720</wp:posOffset>
            </wp:positionH>
            <wp:positionV relativeFrom="paragraph">
              <wp:posOffset>121920</wp:posOffset>
            </wp:positionV>
            <wp:extent cx="923290" cy="407035"/>
            <wp:effectExtent l="0" t="0" r="3810" b="12065"/>
            <wp:wrapNone/>
            <wp:docPr id="4" name="图片 4" descr="牛小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牛小英"/>
                    <pic:cNvPicPr>
                      <a:picLocks noChangeAspect="1"/>
                    </pic:cNvPicPr>
                  </pic:nvPicPr>
                  <pic:blipFill>
                    <a:blip r:embed="rId7"/>
                    <a:stretch>
                      <a:fillRect/>
                    </a:stretch>
                  </pic:blipFill>
                  <pic:spPr>
                    <a:xfrm>
                      <a:off x="0" y="0"/>
                      <a:ext cx="923290" cy="407035"/>
                    </a:xfrm>
                    <a:prstGeom prst="rect">
                      <a:avLst/>
                    </a:prstGeom>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1044" w:firstLineChars="40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617220</wp:posOffset>
            </wp:positionH>
            <wp:positionV relativeFrom="paragraph">
              <wp:posOffset>161925</wp:posOffset>
            </wp:positionV>
            <wp:extent cx="804545" cy="667385"/>
            <wp:effectExtent l="0" t="0" r="0" b="0"/>
            <wp:wrapNone/>
            <wp:docPr id="5" name="图片 5"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郭力"/>
                    <pic:cNvPicPr>
                      <a:picLocks noChangeAspect="1"/>
                    </pic:cNvPicPr>
                  </pic:nvPicPr>
                  <pic:blipFill>
                    <a:blip r:embed="rId6"/>
                    <a:stretch>
                      <a:fillRect/>
                    </a:stretch>
                  </pic:blipFill>
                  <pic:spPr>
                    <a:xfrm>
                      <a:off x="0" y="0"/>
                      <a:ext cx="804545" cy="667385"/>
                    </a:xfrm>
                    <a:prstGeom prst="rect">
                      <a:avLst/>
                    </a:prstGeom>
                  </pic:spPr>
                </pic:pic>
              </a:graphicData>
            </a:graphic>
          </wp:anchor>
        </w:drawing>
      </w: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2"/>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98FE3F"/>
    <w:multiLevelType w:val="singleLevel"/>
    <w:tmpl w:val="8E98FE3F"/>
    <w:lvl w:ilvl="0" w:tentative="0">
      <w:start w:val="2"/>
      <w:numFmt w:val="decimal"/>
      <w:lvlText w:val="%1."/>
      <w:lvlJc w:val="left"/>
      <w:pPr>
        <w:tabs>
          <w:tab w:val="left" w:pos="312"/>
        </w:tabs>
      </w:pPr>
    </w:lvl>
  </w:abstractNum>
  <w:abstractNum w:abstractNumId="1">
    <w:nsid w:val="48421066"/>
    <w:multiLevelType w:val="singleLevel"/>
    <w:tmpl w:val="48421066"/>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DB6ABA"/>
    <w:rsid w:val="1F677933"/>
    <w:rsid w:val="2F6A5BC8"/>
    <w:rsid w:val="36CD0EAA"/>
    <w:rsid w:val="6ACE5BAC"/>
    <w:rsid w:val="796725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qFormat/>
    <w:uiPriority w:val="0"/>
    <w:rPr>
      <w:sz w:val="28"/>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2021-03-16T02:05:56Z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