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0165-2021-Q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陕西锦艺电子科技有限公司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郭力</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陕西锦艺电子科技有限公司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西安市雁塔区电子西街3号西京三号第5幢十四层51409号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710000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r>
              <w:rPr>
                <w:rFonts w:hint="eastAsia" w:ascii="宋体"/>
                <w:b/>
                <w:color w:val="000000"/>
                <w:sz w:val="20"/>
                <w:szCs w:val="20"/>
              </w:rPr>
              <w:t>西安市雁塔区电子二路锦业大厦8-G</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r>
              <w:rPr>
                <w:rFonts w:ascii="宋体"/>
                <w:b/>
                <w:color w:val="000000"/>
                <w:sz w:val="20"/>
                <w:szCs w:val="20"/>
              </w:rPr>
              <w:t>710000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r>
              <w:rPr>
                <w:rFonts w:hint="eastAsia" w:ascii="宋体"/>
                <w:b/>
                <w:color w:val="000000"/>
                <w:sz w:val="20"/>
                <w:szCs w:val="20"/>
              </w:rPr>
              <w:t>西安市长安区长安科技园创汇路25号</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4" w:name="生产邮编Add1"/>
            <w:r>
              <w:rPr>
                <w:rFonts w:ascii="宋体"/>
                <w:b/>
                <w:color w:val="000000"/>
                <w:sz w:val="20"/>
                <w:szCs w:val="20"/>
              </w:rPr>
              <w:t>710000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5" w:name="联系人Add1"/>
            <w:r>
              <w:rPr>
                <w:rFonts w:ascii="宋体"/>
                <w:b/>
                <w:color w:val="000000"/>
                <w:sz w:val="20"/>
                <w:szCs w:val="20"/>
              </w:rPr>
              <w:t>李蓬军</w:t>
            </w:r>
            <w:bookmarkEnd w:id="15"/>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6" w:name="联系人电话Add1"/>
            <w:r>
              <w:rPr>
                <w:rFonts w:ascii="宋体"/>
                <w:b/>
                <w:color w:val="000000"/>
                <w:sz w:val="20"/>
                <w:szCs w:val="20"/>
              </w:rPr>
              <w:t>15991809739</w:t>
            </w:r>
            <w:bookmarkEnd w:id="16"/>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7" w:name="联系人传真Add1"/>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8" w:name="法人"/>
            <w:r>
              <w:rPr>
                <w:rFonts w:ascii="宋体"/>
                <w:b/>
                <w:color w:val="000000"/>
                <w:sz w:val="20"/>
                <w:szCs w:val="20"/>
              </w:rPr>
              <w:t>李蓬军</w:t>
            </w:r>
            <w:bookmarkEnd w:id="18"/>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9" w:name="管理者代表"/>
            <w:r>
              <w:rPr>
                <w:rFonts w:ascii="宋体"/>
                <w:b/>
                <w:color w:val="000000"/>
                <w:sz w:val="20"/>
                <w:szCs w:val="20"/>
              </w:rPr>
              <w:t>李蓬军</w:t>
            </w:r>
            <w:bookmarkEnd w:id="19"/>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0" w:name="联系人邮箱Add1"/>
            <w:r>
              <w:rPr>
                <w:rFonts w:ascii="宋体"/>
                <w:b/>
                <w:color w:val="000000"/>
                <w:sz w:val="20"/>
                <w:szCs w:val="20"/>
              </w:rPr>
              <w:t>1670891638@qq.com</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1" w:name="审核范围"/>
            <w:r>
              <w:rPr>
                <w:rFonts w:ascii="宋体" w:hAnsi="宋体"/>
                <w:b/>
                <w:color w:val="000000"/>
                <w:sz w:val="20"/>
                <w:szCs w:val="20"/>
              </w:rPr>
              <w:t>机械零部件加工</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2" w:name="专业代码"/>
            <w:r>
              <w:rPr>
                <w:rFonts w:ascii="宋体"/>
                <w:b/>
                <w:color w:val="000000"/>
                <w:sz w:val="20"/>
                <w:szCs w:val="20"/>
              </w:rPr>
              <w:t>17.10.02</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综合部、技术部、生产部</w:t>
      </w:r>
    </w:p>
    <w:p>
      <w:pPr>
        <w:spacing w:line="300" w:lineRule="auto"/>
        <w:ind w:firstLine="269" w:firstLineChars="134"/>
        <w:rPr>
          <w:rFonts w:hint="eastAsia" w:ascii="宋体" w:eastAsia="宋体"/>
          <w:b/>
          <w:color w:val="000000"/>
          <w:sz w:val="20"/>
          <w:szCs w:val="20"/>
          <w:u w:val="single"/>
          <w:lang w:val="en-US" w:eastAsia="zh-CN"/>
        </w:rPr>
      </w:pPr>
      <w:r>
        <w:rPr>
          <w:rFonts w:hint="eastAsia" w:ascii="宋体" w:hAnsi="宋体"/>
          <w:b/>
          <w:color w:val="000000"/>
          <w:sz w:val="20"/>
          <w:szCs w:val="20"/>
        </w:rPr>
        <w:t>场所：西安市长安区长安科技园创汇路25号</w:t>
      </w:r>
      <w:r>
        <w:rPr>
          <w:rFonts w:hint="eastAsia" w:ascii="宋体" w:hAnsi="宋体"/>
          <w:b/>
          <w:color w:val="000000"/>
          <w:sz w:val="20"/>
          <w:szCs w:val="20"/>
          <w:lang w:val="en-US" w:eastAsia="zh-CN"/>
        </w:rPr>
        <w:t>/西安市雁塔区电子二路锦业大厦8-G</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产品：机械零部件加工</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综合部、技术部、生产部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r>
              <w:rPr>
                <w:rFonts w:hint="eastAsia" w:ascii="宋体"/>
                <w:color w:val="000000"/>
                <w:sz w:val="20"/>
                <w:szCs w:val="20"/>
              </w:rPr>
              <w:t>西安市长安区长安科技园创汇路25号</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hint="eastAsia" w:ascii="宋体" w:eastAsia="宋体"/>
                <w:color w:val="000000"/>
                <w:sz w:val="20"/>
                <w:szCs w:val="20"/>
                <w:lang w:val="en-US" w:eastAsia="zh-CN"/>
              </w:rPr>
            </w:pPr>
            <w:r>
              <w:rPr>
                <w:rFonts w:hint="eastAsia" w:ascii="宋体" w:hAnsi="宋体"/>
                <w:color w:val="000000"/>
                <w:sz w:val="20"/>
                <w:szCs w:val="20"/>
              </w:rPr>
              <w:t>受审核方位于：西安市长安区长安科技园创汇路25号</w:t>
            </w:r>
            <w:r>
              <w:rPr>
                <w:rFonts w:hint="eastAsia" w:ascii="宋体" w:hAnsi="宋体"/>
                <w:color w:val="000000"/>
                <w:sz w:val="20"/>
                <w:szCs w:val="20"/>
                <w:lang w:val="en-US" w:eastAsia="zh-CN"/>
              </w:rPr>
              <w:t>/西安市雁塔区电子二路锦业大厦8-G</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现场产品与申请范围是否一致：机械零部件加工</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w:t>
            </w:r>
            <w:r>
              <w:rPr>
                <w:rFonts w:hint="eastAsia" w:ascii="宋体" w:hAnsi="宋体" w:eastAsia="宋体" w:cs="Times New Roman"/>
                <w:color w:val="000000"/>
                <w:spacing w:val="-10"/>
                <w:sz w:val="20"/>
                <w:szCs w:val="20"/>
              </w:rPr>
              <w:t>术标准号：一般公差 未注公差的线性和角度尺寸的公差GB/T 1804-2000、形状和位置公差 未注公差值GB/T 1184-1996、零件倒圆与倒角GB/T 6403.4-2008、产品几何技术规范（GPS）几何公差 形状、方向、位置和跳动公差标注GB/T 1182-2008、普通螺纹 基本尺寸GB/T 196-2003、机械加工工艺装备基本术语GB/T 1008-2008、技术产品文件 机械加工定位、夹紧符号表示法GB/T 24740-2009</w:t>
            </w:r>
            <w:r>
              <w:rPr>
                <w:rFonts w:hint="eastAsia" w:ascii="宋体" w:hAnsi="宋体" w:eastAsia="宋体" w:cs="Times New Roman"/>
                <w:color w:val="000000"/>
                <w:spacing w:val="-10"/>
                <w:sz w:val="20"/>
                <w:szCs w:val="20"/>
                <w:lang w:eastAsia="zh-CN"/>
              </w:rPr>
              <w:t>等</w:t>
            </w:r>
            <w:r>
              <w:rPr>
                <w:rFonts w:hint="eastAsia" w:ascii="宋体" w:hAnsi="宋体" w:eastAsia="宋体" w:cs="Times New Roman"/>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ascii="宋体" w:hAnsi="宋体"/>
                <w:szCs w:val="21"/>
                <w:lang w:val="en-US" w:eastAsia="zh-CN"/>
              </w:rPr>
              <w:t>原材料</w:t>
            </w:r>
            <w:r>
              <w:rPr>
                <w:rFonts w:hint="eastAsia" w:ascii="宋体" w:hAnsi="宋体"/>
                <w:szCs w:val="21"/>
              </w:rPr>
              <w:t>→</w:t>
            </w:r>
            <w:r>
              <w:rPr>
                <w:rFonts w:hint="eastAsia" w:ascii="宋体" w:hAnsi="宋体"/>
                <w:szCs w:val="21"/>
                <w:lang w:val="en-US" w:eastAsia="zh-CN"/>
              </w:rPr>
              <w:t>金属（车、铣、钻、加工中心）加工</w:t>
            </w:r>
            <w:r>
              <w:rPr>
                <w:rFonts w:hint="eastAsia" w:ascii="宋体" w:hAnsi="宋体"/>
                <w:szCs w:val="21"/>
              </w:rPr>
              <w:t>→检验→入库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vAlign w:val="top"/>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vAlign w:val="top"/>
          </w:tcPr>
          <w:p>
            <w:pPr>
              <w:rPr>
                <w:rFonts w:ascii="宋体"/>
                <w:color w:val="000000"/>
                <w:sz w:val="20"/>
                <w:szCs w:val="20"/>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vAlign w:val="top"/>
          </w:tcPr>
          <w:p>
            <w:pPr>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vAlign w:val="top"/>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vAlign w:val="top"/>
          </w:tcPr>
          <w:p>
            <w:pPr>
              <w:rPr>
                <w:rFonts w:ascii="宋体"/>
                <w:color w:val="000000"/>
                <w:spacing w:val="-10"/>
                <w:sz w:val="20"/>
                <w:szCs w:val="20"/>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vAlign w:val="top"/>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vAlign w:val="top"/>
          </w:tcPr>
          <w:p>
            <w:pPr>
              <w:rPr>
                <w:rFonts w:ascii="宋体"/>
                <w:color w:val="000000"/>
                <w:spacing w:val="-10"/>
                <w:sz w:val="20"/>
                <w:szCs w:val="20"/>
              </w:rPr>
            </w:pPr>
            <w:r>
              <w:rPr>
                <w:rFonts w:hint="eastAsia" w:ascii="宋体" w:hAnsi="宋体"/>
                <w:color w:val="auto"/>
                <w:spacing w:val="-10"/>
                <w:sz w:val="20"/>
                <w:szCs w:val="20"/>
              </w:rPr>
              <w:t>主要设备：</w:t>
            </w:r>
            <w:r>
              <w:rPr>
                <w:rFonts w:hint="eastAsia" w:ascii="宋体" w:hAnsi="宋体"/>
                <w:color w:val="auto"/>
                <w:spacing w:val="-10"/>
                <w:sz w:val="20"/>
                <w:szCs w:val="20"/>
                <w:lang w:val="en-US" w:eastAsia="zh-CN"/>
              </w:rPr>
              <w:t>数控车床、钻床、加工中心、砂轮机、数控铣床、卧式普通车床、台式钻床、切边机、台式滚丝机等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color w:val="000000"/>
                <w:sz w:val="20"/>
                <w:szCs w:val="20"/>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vAlign w:val="top"/>
          </w:tcPr>
          <w:p>
            <w:pPr>
              <w:rPr>
                <w:rFonts w:ascii="宋体"/>
                <w:color w:val="000000"/>
                <w:sz w:val="20"/>
                <w:szCs w:val="20"/>
              </w:rPr>
            </w:pPr>
            <w:r>
              <w:rPr>
                <w:rFonts w:hint="eastAsia" w:ascii="宋体"/>
                <w:color w:val="auto"/>
                <w:sz w:val="20"/>
                <w:szCs w:val="20"/>
              </w:rPr>
              <w:t>监视和测量设备（请简述主要监视和测量设备）：</w:t>
            </w:r>
            <w:r>
              <w:rPr>
                <w:rFonts w:hint="eastAsia"/>
                <w:szCs w:val="21"/>
                <w:lang w:eastAsia="zh-CN"/>
              </w:rPr>
              <w:t>游标卡尺、千分尺</w:t>
            </w:r>
            <w:r>
              <w:rPr>
                <w:rFonts w:hint="eastAsia"/>
                <w:szCs w:val="21"/>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vAlign w:val="top"/>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vAlign w:val="top"/>
          </w:tcPr>
          <w:p>
            <w:pPr>
              <w:rPr>
                <w:rFonts w:ascii="宋体"/>
                <w:color w:val="000000"/>
                <w:sz w:val="20"/>
                <w:szCs w:val="20"/>
              </w:rPr>
            </w:pPr>
            <w:r>
              <w:rPr>
                <w:rFonts w:hint="eastAsia" w:ascii="宋体"/>
                <w:color w:val="000000"/>
                <w:sz w:val="20"/>
                <w:szCs w:val="20"/>
                <w:lang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15</w:t>
            </w:r>
            <w:r>
              <w:rPr>
                <w:rFonts w:hint="eastAsia" w:ascii="宋体"/>
                <w:color w:val="000000"/>
                <w:sz w:val="20"/>
                <w:szCs w:val="20"/>
              </w:rPr>
              <w:t>人，其中管理人员：</w:t>
            </w:r>
            <w:r>
              <w:rPr>
                <w:rFonts w:hint="eastAsia" w:ascii="宋体"/>
                <w:color w:val="000000"/>
                <w:sz w:val="20"/>
                <w:szCs w:val="20"/>
                <w:lang w:val="en-US" w:eastAsia="zh-CN"/>
              </w:rPr>
              <w:t>3</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eastAsia="zh-CN"/>
              </w:rPr>
              <w:t>技术部、生产部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eastAsia="zh-CN"/>
              </w:rPr>
              <w:t>生产和服务的提供</w:t>
            </w:r>
            <w:r>
              <w:rPr>
                <w:rFonts w:hint="eastAsia" w:ascii="宋体" w:hAnsi="宋体"/>
                <w:b/>
                <w:color w:val="000000"/>
                <w:sz w:val="20"/>
                <w:szCs w:val="20"/>
              </w:rPr>
              <w:t>；产品和服务放行、不合格产品和服务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重点审核场所：生产场所</w:t>
            </w:r>
            <w:r>
              <w:rPr>
                <w:rFonts w:hint="eastAsia" w:ascii="宋体" w:hAnsi="宋体"/>
                <w:b/>
                <w:color w:val="000000"/>
                <w:sz w:val="20"/>
                <w:szCs w:val="20"/>
                <w:lang w:eastAsia="zh-CN"/>
              </w:rPr>
              <w:t>、检验场所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360" w:lineRule="auto"/>
              <w:rPr>
                <w:rFonts w:hint="eastAsia" w:ascii="宋体" w:hAnsi="宋体"/>
                <w:b w:val="0"/>
                <w:bCs/>
                <w:color w:val="000000"/>
                <w:sz w:val="21"/>
                <w:szCs w:val="21"/>
              </w:rPr>
            </w:pPr>
            <w:r>
              <w:rPr>
                <w:rFonts w:hint="eastAsia" w:ascii="宋体" w:hAnsi="宋体"/>
                <w:b/>
                <w:color w:val="000000"/>
                <w:sz w:val="21"/>
                <w:szCs w:val="21"/>
              </w:rPr>
              <w:t>了解内审的策划</w:t>
            </w:r>
            <w:r>
              <w:rPr>
                <w:rFonts w:ascii="宋体" w:hAnsi="宋体"/>
                <w:b/>
                <w:color w:val="000000"/>
                <w:sz w:val="21"/>
                <w:szCs w:val="21"/>
              </w:rPr>
              <w:t>;</w:t>
            </w:r>
            <w:r>
              <w:rPr>
                <w:rFonts w:ascii="宋体" w:hAnsi="宋体"/>
                <w:b w:val="0"/>
                <w:bCs/>
                <w:color w:val="000000"/>
                <w:sz w:val="21"/>
                <w:szCs w:val="21"/>
              </w:rPr>
              <w:t xml:space="preserve"> </w:t>
            </w:r>
            <w:r>
              <w:rPr>
                <w:rFonts w:hint="eastAsia" w:ascii="宋体" w:hAnsi="宋体"/>
                <w:b w:val="0"/>
                <w:bCs/>
                <w:color w:val="000000"/>
                <w:sz w:val="21"/>
                <w:szCs w:val="21"/>
              </w:rPr>
              <w:t>建立有《内部质量体系审核程序》</w:t>
            </w:r>
          </w:p>
          <w:p>
            <w:pPr>
              <w:spacing w:line="360" w:lineRule="auto"/>
              <w:rPr>
                <w:rFonts w:hint="eastAsia" w:ascii="宋体" w:hAnsi="宋体"/>
                <w:b w:val="0"/>
                <w:bCs/>
                <w:color w:val="000000"/>
                <w:sz w:val="21"/>
                <w:szCs w:val="21"/>
              </w:rPr>
            </w:pPr>
            <w:r>
              <w:rPr>
                <w:rFonts w:hint="eastAsia" w:ascii="宋体" w:hAnsi="宋体"/>
                <w:b w:val="0"/>
                <w:bCs/>
                <w:color w:val="000000"/>
                <w:sz w:val="21"/>
                <w:szCs w:val="21"/>
              </w:rPr>
              <w:t>见有《内部审核计划表》</w:t>
            </w:r>
          </w:p>
          <w:p>
            <w:pPr>
              <w:spacing w:line="360" w:lineRule="auto"/>
              <w:rPr>
                <w:rFonts w:hint="eastAsia" w:ascii="宋体" w:hAnsi="宋体" w:eastAsia="宋体" w:cs="Times New Roman"/>
                <w:b w:val="0"/>
                <w:bCs/>
                <w:color w:val="000000"/>
                <w:sz w:val="21"/>
                <w:szCs w:val="21"/>
              </w:rPr>
            </w:pPr>
            <w:r>
              <w:rPr>
                <w:rFonts w:hint="eastAsia" w:ascii="宋体" w:hAnsi="宋体"/>
                <w:b w:val="0"/>
                <w:bCs/>
                <w:color w:val="000000"/>
                <w:sz w:val="21"/>
                <w:szCs w:val="21"/>
              </w:rPr>
              <w:t>内审时间</w:t>
            </w:r>
            <w:r>
              <w:rPr>
                <w:rFonts w:hint="eastAsia" w:ascii="宋体" w:hAnsi="宋体" w:eastAsia="宋体" w:cs="Times New Roman"/>
                <w:b w:val="0"/>
                <w:bCs/>
                <w:color w:val="000000"/>
                <w:sz w:val="21"/>
                <w:szCs w:val="21"/>
              </w:rPr>
              <w:t>：20</w:t>
            </w:r>
            <w:r>
              <w:rPr>
                <w:rFonts w:hint="eastAsia" w:ascii="宋体" w:hAnsi="宋体" w:eastAsia="宋体" w:cs="Times New Roman"/>
                <w:b w:val="0"/>
                <w:bCs/>
                <w:color w:val="000000"/>
                <w:sz w:val="21"/>
                <w:szCs w:val="21"/>
                <w:lang w:val="en-US" w:eastAsia="zh-CN"/>
              </w:rPr>
              <w:t>20</w:t>
            </w:r>
            <w:r>
              <w:rPr>
                <w:rFonts w:hint="eastAsia" w:ascii="宋体" w:hAnsi="宋体" w:eastAsia="宋体" w:cs="Times New Roman"/>
                <w:b w:val="0"/>
                <w:bCs/>
                <w:color w:val="000000"/>
                <w:sz w:val="21"/>
                <w:szCs w:val="21"/>
              </w:rPr>
              <w:t>年</w:t>
            </w:r>
            <w:r>
              <w:rPr>
                <w:rFonts w:hint="eastAsia" w:ascii="宋体" w:hAnsi="宋体" w:eastAsia="宋体" w:cs="Times New Roman"/>
                <w:b w:val="0"/>
                <w:bCs/>
                <w:color w:val="000000"/>
                <w:sz w:val="21"/>
                <w:szCs w:val="21"/>
                <w:lang w:val="en-US" w:eastAsia="zh-CN"/>
              </w:rPr>
              <w:t>12</w:t>
            </w:r>
            <w:r>
              <w:rPr>
                <w:rFonts w:hint="eastAsia" w:ascii="宋体" w:hAnsi="宋体" w:eastAsia="宋体" w:cs="Times New Roman"/>
                <w:b w:val="0"/>
                <w:bCs/>
                <w:color w:val="000000"/>
                <w:sz w:val="21"/>
                <w:szCs w:val="21"/>
              </w:rPr>
              <w:t>月</w:t>
            </w:r>
            <w:r>
              <w:rPr>
                <w:rFonts w:hint="eastAsia" w:ascii="宋体" w:hAnsi="宋体" w:eastAsia="宋体" w:cs="Times New Roman"/>
                <w:b w:val="0"/>
                <w:bCs/>
                <w:color w:val="000000"/>
                <w:sz w:val="21"/>
                <w:szCs w:val="21"/>
                <w:lang w:val="en-US" w:eastAsia="zh-CN"/>
              </w:rPr>
              <w:t>15-16</w:t>
            </w:r>
            <w:r>
              <w:rPr>
                <w:rFonts w:hint="eastAsia" w:ascii="宋体" w:hAnsi="宋体" w:eastAsia="宋体" w:cs="Times New Roman"/>
                <w:b w:val="0"/>
                <w:bCs/>
                <w:color w:val="000000"/>
                <w:sz w:val="21"/>
                <w:szCs w:val="21"/>
              </w:rPr>
              <w:t xml:space="preserve">日       </w:t>
            </w:r>
          </w:p>
          <w:p>
            <w:pPr>
              <w:spacing w:line="360" w:lineRule="auto"/>
              <w:rPr>
                <w:rFonts w:ascii="宋体"/>
                <w:b/>
                <w:color w:val="000000"/>
                <w:sz w:val="20"/>
                <w:szCs w:val="20"/>
              </w:rPr>
            </w:pPr>
            <w:r>
              <w:rPr>
                <w:rFonts w:hint="eastAsia" w:ascii="宋体" w:hAnsi="宋体" w:eastAsia="宋体" w:cs="Times New Roman"/>
                <w:b w:val="0"/>
                <w:bCs/>
                <w:color w:val="000000"/>
                <w:sz w:val="21"/>
                <w:szCs w:val="21"/>
              </w:rPr>
              <w:t>内审组：</w:t>
            </w:r>
            <w:r>
              <w:rPr>
                <w:rFonts w:hint="eastAsia" w:ascii="宋体" w:hAnsi="宋体" w:eastAsia="宋体" w:cs="宋体"/>
                <w:sz w:val="21"/>
                <w:szCs w:val="21"/>
              </w:rPr>
              <w:t>组长：施多伟</w:t>
            </w:r>
            <w:r>
              <w:rPr>
                <w:rFonts w:hint="eastAsia" w:ascii="宋体" w:hAnsi="宋体" w:eastAsia="宋体" w:cs="宋体"/>
                <w:sz w:val="21"/>
                <w:szCs w:val="21"/>
                <w:lang w:eastAsia="zh-CN"/>
              </w:rPr>
              <w:t>，</w:t>
            </w:r>
            <w:r>
              <w:rPr>
                <w:rFonts w:hint="eastAsia" w:ascii="宋体" w:hAnsi="宋体" w:eastAsia="宋体" w:cs="宋体"/>
                <w:sz w:val="21"/>
                <w:szCs w:val="21"/>
              </w:rPr>
              <w:t>组员：</w:t>
            </w:r>
            <w:r>
              <w:rPr>
                <w:rFonts w:hint="eastAsia" w:ascii="宋体" w:hAnsi="宋体" w:eastAsia="宋体" w:cs="宋体"/>
                <w:sz w:val="21"/>
                <w:szCs w:val="21"/>
                <w:lang w:val="en-US" w:eastAsia="zh-CN"/>
              </w:rPr>
              <w:t>郭新民</w:t>
            </w:r>
            <w:r>
              <w:rPr>
                <w:rFonts w:hint="eastAsia" w:ascii="宋体" w:hAnsi="宋体" w:eastAsia="宋体" w:cs="Times New Roman"/>
                <w:b w:val="0"/>
                <w:bCs/>
                <w:color w:val="00000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360" w:lineRule="auto"/>
              <w:rPr>
                <w:rFonts w:hint="eastAsia" w:ascii="宋体" w:hAnsi="宋体"/>
                <w:b w:val="0"/>
                <w:bCs/>
                <w:color w:val="000000"/>
                <w:sz w:val="21"/>
                <w:szCs w:val="21"/>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val="0"/>
                <w:bCs/>
                <w:color w:val="000000"/>
                <w:sz w:val="21"/>
                <w:szCs w:val="21"/>
              </w:rPr>
              <w:t>是</w:t>
            </w:r>
          </w:p>
          <w:p>
            <w:pPr>
              <w:spacing w:line="360" w:lineRule="auto"/>
              <w:rPr>
                <w:rFonts w:hint="eastAsia" w:ascii="宋体" w:hAnsi="宋体"/>
                <w:b w:val="0"/>
                <w:bCs/>
                <w:color w:val="000000"/>
                <w:sz w:val="21"/>
                <w:szCs w:val="21"/>
              </w:rPr>
            </w:pPr>
            <w:r>
              <w:rPr>
                <w:rFonts w:hint="eastAsia" w:ascii="宋体" w:hAnsi="宋体"/>
                <w:b w:val="0"/>
                <w:bCs/>
                <w:color w:val="000000"/>
                <w:sz w:val="21"/>
                <w:szCs w:val="21"/>
              </w:rPr>
              <w:t>审核范围:管理体系涉及的公司所有部门、生产车间及活动场所。</w:t>
            </w:r>
          </w:p>
          <w:p>
            <w:pPr>
              <w:spacing w:line="360" w:lineRule="auto"/>
              <w:rPr>
                <w:rFonts w:ascii="宋体"/>
                <w:b/>
                <w:color w:val="000000"/>
                <w:sz w:val="20"/>
                <w:szCs w:val="20"/>
              </w:rPr>
            </w:pPr>
            <w:r>
              <w:rPr>
                <w:rFonts w:hint="eastAsia" w:ascii="宋体" w:hAnsi="宋体"/>
                <w:b w:val="0"/>
                <w:bCs/>
                <w:color w:val="000000"/>
                <w:sz w:val="21"/>
                <w:szCs w:val="21"/>
              </w:rPr>
              <w:t>审核准则：a.GB/T 19001:2016标准； b.本公司管理体系文件；c.相关的法律法规；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360" w:lineRule="auto"/>
              <w:rPr>
                <w:rFonts w:hint="eastAsia" w:ascii="宋体" w:hAnsi="宋体"/>
                <w:b/>
                <w:color w:val="000000"/>
                <w:sz w:val="20"/>
                <w:szCs w:val="20"/>
              </w:rPr>
            </w:pPr>
            <w:r>
              <w:rPr>
                <w:rFonts w:hint="eastAsia" w:ascii="宋体" w:hAnsi="宋体"/>
                <w:b/>
                <w:color w:val="000000"/>
                <w:sz w:val="20"/>
                <w:szCs w:val="20"/>
              </w:rPr>
              <w:t>了解内审结论是什么？</w:t>
            </w:r>
          </w:p>
          <w:p>
            <w:pPr>
              <w:spacing w:line="360" w:lineRule="auto"/>
              <w:rPr>
                <w:rFonts w:ascii="宋体"/>
                <w:b/>
                <w:color w:val="000000"/>
                <w:sz w:val="20"/>
                <w:szCs w:val="20"/>
              </w:rPr>
            </w:pPr>
            <w:r>
              <w:rPr>
                <w:rFonts w:hint="eastAsia" w:ascii="宋体" w:hAnsi="宋体"/>
                <w:b w:val="0"/>
                <w:bCs/>
                <w:color w:val="000000"/>
                <w:sz w:val="20"/>
                <w:szCs w:val="20"/>
              </w:rPr>
              <w:t>本次内审对GB/T 19001:2016标准体系文件管理手册、体系文件进行了全面检查，通过审核可以看出管理体系已基本进入了正常状态，但仍存在一些问题，需要完善现场作业及加强各类人员的培训。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360" w:lineRule="auto"/>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p>
            <w:pPr>
              <w:spacing w:line="360" w:lineRule="auto"/>
              <w:rPr>
                <w:rFonts w:ascii="宋体"/>
                <w:b/>
                <w:color w:val="000000"/>
                <w:sz w:val="20"/>
                <w:szCs w:val="20"/>
              </w:rPr>
            </w:pPr>
            <w:r>
              <w:rPr>
                <w:rFonts w:hint="eastAsia"/>
                <w:szCs w:val="21"/>
              </w:rPr>
              <w:t>建立有《管理评审控制程序》，于</w:t>
            </w:r>
            <w:r>
              <w:rPr>
                <w:rFonts w:hint="eastAsia" w:ascii="宋体" w:hAnsi="宋体"/>
                <w:kern w:val="0"/>
                <w:sz w:val="21"/>
                <w:szCs w:val="21"/>
                <w:lang w:eastAsia="zh-CN"/>
              </w:rPr>
              <w:t>20</w:t>
            </w:r>
            <w:r>
              <w:rPr>
                <w:rFonts w:hint="eastAsia" w:ascii="宋体" w:hAnsi="宋体"/>
                <w:kern w:val="0"/>
                <w:sz w:val="21"/>
                <w:szCs w:val="21"/>
                <w:lang w:val="en-US" w:eastAsia="zh-CN"/>
              </w:rPr>
              <w:t>20</w:t>
            </w:r>
            <w:r>
              <w:rPr>
                <w:rFonts w:hint="eastAsia" w:ascii="宋体" w:hAnsi="宋体"/>
                <w:kern w:val="0"/>
                <w:sz w:val="21"/>
                <w:szCs w:val="21"/>
                <w:lang w:eastAsia="zh-CN"/>
              </w:rPr>
              <w:t>年</w:t>
            </w:r>
            <w:r>
              <w:rPr>
                <w:rFonts w:hint="eastAsia" w:ascii="宋体" w:hAnsi="宋体"/>
                <w:kern w:val="0"/>
                <w:sz w:val="21"/>
                <w:szCs w:val="21"/>
                <w:lang w:val="en-US" w:eastAsia="zh-CN"/>
              </w:rPr>
              <w:t>12</w:t>
            </w:r>
            <w:r>
              <w:rPr>
                <w:rFonts w:hint="eastAsia" w:ascii="宋体" w:hAnsi="宋体"/>
                <w:kern w:val="0"/>
                <w:sz w:val="21"/>
                <w:szCs w:val="21"/>
                <w:lang w:eastAsia="zh-CN"/>
              </w:rPr>
              <w:t>月</w:t>
            </w:r>
            <w:r>
              <w:rPr>
                <w:rFonts w:hint="eastAsia" w:ascii="宋体" w:hAnsi="宋体"/>
                <w:kern w:val="0"/>
                <w:sz w:val="21"/>
                <w:szCs w:val="21"/>
                <w:lang w:val="en-US" w:eastAsia="zh-CN"/>
              </w:rPr>
              <w:t>30</w:t>
            </w:r>
            <w:r>
              <w:rPr>
                <w:rFonts w:hint="eastAsia" w:ascii="宋体" w:hAnsi="宋体"/>
                <w:kern w:val="0"/>
                <w:sz w:val="21"/>
                <w:szCs w:val="21"/>
                <w:lang w:eastAsia="zh-CN"/>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360" w:lineRule="auto"/>
              <w:rPr>
                <w:rFonts w:hint="eastAsia" w:eastAsia="宋体"/>
                <w:lang w:val="en-US" w:eastAsia="zh-CN"/>
              </w:rPr>
            </w:pPr>
            <w:r>
              <w:rPr>
                <w:rFonts w:hint="eastAsia"/>
                <w:b/>
                <w:bCs/>
              </w:rPr>
              <w:t>了解管理评审输入是否充分</w:t>
            </w:r>
            <w:r>
              <w:t xml:space="preserve">; </w:t>
            </w:r>
            <w:r>
              <w:rPr>
                <w:rFonts w:hint="eastAsia"/>
                <w:lang w:val="en-US" w:eastAsia="zh-CN"/>
              </w:rPr>
              <w:t>是</w:t>
            </w:r>
          </w:p>
          <w:p>
            <w:pPr>
              <w:pStyle w:val="2"/>
              <w:spacing w:line="360" w:lineRule="auto"/>
              <w:rPr>
                <w:rFonts w:ascii="宋体"/>
                <w:b/>
                <w:color w:val="000000"/>
                <w:sz w:val="20"/>
                <w:szCs w:val="20"/>
              </w:rPr>
            </w:pPr>
            <w:r>
              <w:rPr>
                <w:rFonts w:hint="eastAsia" w:ascii="Times New Roman" w:hAnsi="Times New Roman" w:eastAsia="宋体" w:cs="Times New Roman"/>
                <w:kern w:val="2"/>
                <w:sz w:val="21"/>
                <w:szCs w:val="21"/>
                <w:lang w:val="en-US" w:eastAsia="zh-CN" w:bidi="ar-SA"/>
              </w:rPr>
              <w:t>提供主要输入材料有：各部门总结、质量体系运行报告，输入信息基本充分和满足要求。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360" w:lineRule="auto"/>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hint="eastAsia"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范围无变化见初定的管理体系认证范围：机械零部件加工</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11" w:firstLineChars="100"/>
        <w:rPr>
          <w:rFonts w:ascii="宋体"/>
          <w:b/>
          <w:bCs/>
          <w:color w:val="000000"/>
          <w:sz w:val="26"/>
          <w:szCs w:val="26"/>
        </w:rPr>
      </w:pPr>
      <w:r>
        <w:rPr>
          <w:rFonts w:ascii="宋体" w:hAnsi="宋体"/>
          <w:b/>
          <w:color w:val="000000"/>
        </w:rPr>
        <w:drawing>
          <wp:anchor distT="0" distB="0" distL="114300" distR="114300" simplePos="0" relativeHeight="251658240" behindDoc="0" locked="0" layoutInCell="1" allowOverlap="1">
            <wp:simplePos x="0" y="0"/>
            <wp:positionH relativeFrom="column">
              <wp:posOffset>1706880</wp:posOffset>
            </wp:positionH>
            <wp:positionV relativeFrom="paragraph">
              <wp:posOffset>262890</wp:posOffset>
            </wp:positionV>
            <wp:extent cx="645795" cy="535940"/>
            <wp:effectExtent l="0" t="0" r="0" b="0"/>
            <wp:wrapNone/>
            <wp:docPr id="1" name="图片 1"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郭力"/>
                    <pic:cNvPicPr>
                      <a:picLocks noChangeAspect="1"/>
                    </pic:cNvPicPr>
                  </pic:nvPicPr>
                  <pic:blipFill>
                    <a:blip r:embed="rId6"/>
                    <a:stretch>
                      <a:fillRect/>
                    </a:stretch>
                  </pic:blipFill>
                  <pic:spPr>
                    <a:xfrm>
                      <a:off x="0" y="0"/>
                      <a:ext cx="645795" cy="535940"/>
                    </a:xfrm>
                    <a:prstGeom prst="rect">
                      <a:avLst/>
                    </a:prstGeom>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ascii="宋体" w:hAnsi="宋体"/>
          <w:b/>
          <w:color w:val="000000"/>
        </w:rPr>
        <w:drawing>
          <wp:anchor distT="0" distB="0" distL="114300" distR="114300" simplePos="0" relativeHeight="251659264" behindDoc="0" locked="0" layoutInCell="1" allowOverlap="1">
            <wp:simplePos x="0" y="0"/>
            <wp:positionH relativeFrom="column">
              <wp:posOffset>1725930</wp:posOffset>
            </wp:positionH>
            <wp:positionV relativeFrom="paragraph">
              <wp:posOffset>3810</wp:posOffset>
            </wp:positionV>
            <wp:extent cx="645795" cy="535940"/>
            <wp:effectExtent l="0" t="0" r="0" b="0"/>
            <wp:wrapNone/>
            <wp:docPr id="3" name="图片 3"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签名-郭力"/>
                    <pic:cNvPicPr>
                      <a:picLocks noChangeAspect="1"/>
                    </pic:cNvPicPr>
                  </pic:nvPicPr>
                  <pic:blipFill>
                    <a:blip r:embed="rId6"/>
                    <a:stretch>
                      <a:fillRect/>
                    </a:stretch>
                  </pic:blipFill>
                  <pic:spPr>
                    <a:xfrm>
                      <a:off x="0" y="0"/>
                      <a:ext cx="645795" cy="535940"/>
                    </a:xfrm>
                    <a:prstGeom prst="rect">
                      <a:avLst/>
                    </a:prstGeom>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2021.3.10</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eastAsia="宋体"/>
                <w:b/>
                <w:color w:val="000000"/>
                <w:sz w:val="22"/>
                <w:szCs w:val="22"/>
                <w:lang w:eastAsia="zh-CN"/>
              </w:rPr>
              <w:drawing>
                <wp:anchor distT="0" distB="0" distL="114300" distR="114300" simplePos="0" relativeHeight="251660288" behindDoc="0" locked="0" layoutInCell="1" allowOverlap="1">
                  <wp:simplePos x="0" y="0"/>
                  <wp:positionH relativeFrom="column">
                    <wp:posOffset>471805</wp:posOffset>
                  </wp:positionH>
                  <wp:positionV relativeFrom="paragraph">
                    <wp:posOffset>53340</wp:posOffset>
                  </wp:positionV>
                  <wp:extent cx="619760" cy="514350"/>
                  <wp:effectExtent l="0" t="0" r="0" b="0"/>
                  <wp:wrapNone/>
                  <wp:docPr id="4" name="图片 4"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签名-郭力"/>
                          <pic:cNvPicPr>
                            <a:picLocks noChangeAspect="1"/>
                          </pic:cNvPicPr>
                        </pic:nvPicPr>
                        <pic:blipFill>
                          <a:blip r:embed="rId6"/>
                          <a:stretch>
                            <a:fillRect/>
                          </a:stretch>
                        </pic:blipFill>
                        <pic:spPr>
                          <a:xfrm>
                            <a:off x="0" y="0"/>
                            <a:ext cx="619760" cy="514350"/>
                          </a:xfrm>
                          <a:prstGeom prst="rect">
                            <a:avLst/>
                          </a:prstGeom>
                        </pic:spPr>
                      </pic:pic>
                    </a:graphicData>
                  </a:graphic>
                </wp:anchor>
              </w:drawing>
            </w:r>
            <w:r>
              <w:rPr>
                <w:rFonts w:hint="eastAsia"/>
                <w:b/>
                <w:color w:val="000000"/>
                <w:spacing w:val="-10"/>
                <w:szCs w:val="21"/>
              </w:rPr>
              <w:t>□二阶段现场审核前不需提交书面材料的整改项（第项，共项）</w:t>
            </w:r>
          </w:p>
          <w:p>
            <w:pPr>
              <w:spacing w:line="280" w:lineRule="exact"/>
              <w:rPr>
                <w:rFonts w:hint="eastAsia" w:eastAsia="宋体"/>
                <w:b/>
                <w:color w:val="000000"/>
                <w:sz w:val="22"/>
                <w:szCs w:val="22"/>
                <w:lang w:eastAsia="zh-CN"/>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 xml:space="preserve"> 年 </w:t>
            </w:r>
            <w:r>
              <w:rPr>
                <w:rFonts w:hint="eastAsia"/>
                <w:b/>
                <w:color w:val="000000"/>
                <w:sz w:val="22"/>
                <w:szCs w:val="22"/>
                <w:lang w:val="en-US" w:eastAsia="zh-CN"/>
              </w:rPr>
              <w:t>3</w:t>
            </w:r>
            <w:r>
              <w:rPr>
                <w:rFonts w:hint="eastAsia"/>
                <w:b/>
                <w:color w:val="000000"/>
                <w:sz w:val="22"/>
                <w:szCs w:val="22"/>
              </w:rPr>
              <w:t xml:space="preserve">  月 </w:t>
            </w:r>
            <w:r>
              <w:rPr>
                <w:rFonts w:hint="eastAsia"/>
                <w:b/>
                <w:color w:val="000000"/>
                <w:sz w:val="22"/>
                <w:szCs w:val="22"/>
                <w:lang w:val="en-US" w:eastAsia="zh-CN"/>
              </w:rPr>
              <w:t>10</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 xml:space="preserve">  日期：</w:t>
            </w:r>
            <w:r>
              <w:rPr>
                <w:rFonts w:hint="eastAsia"/>
                <w:b/>
                <w:color w:val="000000"/>
                <w:sz w:val="22"/>
                <w:szCs w:val="22"/>
                <w:lang w:val="en-US" w:eastAsia="zh-CN"/>
              </w:rPr>
              <w:t>2021</w:t>
            </w:r>
            <w:r>
              <w:rPr>
                <w:rFonts w:hint="eastAsia"/>
                <w:b/>
                <w:color w:val="000000"/>
                <w:sz w:val="22"/>
                <w:szCs w:val="22"/>
              </w:rPr>
              <w:t xml:space="preserve"> 年 </w:t>
            </w:r>
            <w:r>
              <w:rPr>
                <w:rFonts w:hint="eastAsia"/>
                <w:b/>
                <w:color w:val="000000"/>
                <w:sz w:val="22"/>
                <w:szCs w:val="22"/>
                <w:lang w:val="en-US" w:eastAsia="zh-CN"/>
              </w:rPr>
              <w:t>3</w:t>
            </w:r>
            <w:r>
              <w:rPr>
                <w:rFonts w:hint="eastAsia"/>
                <w:b/>
                <w:color w:val="000000"/>
                <w:sz w:val="22"/>
                <w:szCs w:val="22"/>
              </w:rPr>
              <w:t xml:space="preserve">  月 </w:t>
            </w:r>
            <w:r>
              <w:rPr>
                <w:rFonts w:hint="eastAsia"/>
                <w:b/>
                <w:color w:val="000000"/>
                <w:sz w:val="22"/>
                <w:szCs w:val="22"/>
                <w:lang w:val="en-US" w:eastAsia="zh-CN"/>
              </w:rPr>
              <w:t>10</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bookmarkStart w:id="23" w:name="_GoBack"/>
            <w:bookmarkEnd w:id="23"/>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56C69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uiPriority w:val="0"/>
    <w:rPr>
      <w:sz w:val="28"/>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locked/>
    <w:uiPriority w:val="99"/>
    <w:rPr>
      <w:rFonts w:ascii="Calibri" w:hAnsi="Calibri" w:eastAsia="宋体" w:cs="Times New Roman"/>
      <w:sz w:val="18"/>
      <w:szCs w:val="18"/>
    </w:rPr>
  </w:style>
  <w:style w:type="character" w:customStyle="1" w:styleId="13">
    <w:name w:val="副标题 字符"/>
    <w:link w:val="6"/>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郭力</cp:lastModifiedBy>
  <dcterms:modified xsi:type="dcterms:W3CDTF">2021-03-10T13:15:07Z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