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北京德克鲁兹机器人销售有限公司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李蒙生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color w:val="000000" w:themeColor="text1"/>
                <w:lang w:val="en-US" w:eastAsia="zh-CN"/>
              </w:rPr>
            </w:pPr>
            <w:r>
              <w:rPr>
                <w:rFonts w:hint="eastAsia"/>
                <w:b/>
                <w:color w:val="000000" w:themeColor="text1"/>
                <w:lang w:val="en-US" w:eastAsia="zh-CN"/>
              </w:rPr>
              <w:t>/</w:t>
            </w: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color w:val="000000" w:themeColor="text1"/>
                <w:lang w:val="en-US" w:eastAsia="zh-CN"/>
              </w:rPr>
            </w:pPr>
            <w:r>
              <w:rPr>
                <w:rFonts w:hint="eastAsia"/>
                <w:b/>
                <w:color w:val="000000" w:themeColor="text1"/>
                <w:lang w:val="en-US" w:eastAsia="zh-CN"/>
              </w:rPr>
              <w:t>/</w:t>
            </w: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北京德克鲁兹机器人销售有限公司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13</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北京市顺义区赵全营镇兆丰产业基地园盈路16号2幢2层220室</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101399</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北京市顺义区赵全营镇兆丰产业基地园盈路16号2幢2层220室</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101399</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李娟</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13333402742</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沈海洋</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李娟</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焊接机器人设备及配件的销售服务</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29.10.07</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2020-09-08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widowControl/>
              <w:jc w:val="left"/>
              <w:rPr>
                <w:rFonts w:ascii="宋体" w:hAnsi="宋体"/>
                <w:b/>
                <w:color w:val="000000" w:themeColor="text1"/>
                <w:spacing w:val="-20"/>
                <w:sz w:val="20"/>
                <w:szCs w:val="20"/>
              </w:rPr>
            </w:pPr>
          </w:p>
          <w:p>
            <w:pP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6804" w:type="dxa"/>
          </w:tcPr>
          <w:p>
            <w:pPr>
              <w:jc w:val="center"/>
              <w:rPr>
                <w:rFonts w:ascii="宋体" w:hAnsi="宋体"/>
                <w:b/>
                <w:color w:val="000000" w:themeColor="text1"/>
                <w:spacing w:val="-20"/>
                <w:sz w:val="20"/>
                <w:szCs w:val="20"/>
                <w:u w:val="single"/>
              </w:rPr>
            </w:pPr>
            <w:r>
              <w:rPr>
                <w:rFonts w:hint="eastAsia"/>
                <w:sz w:val="21"/>
                <w:szCs w:val="21"/>
                <w:lang w:val="en-US" w:eastAsia="zh-CN"/>
              </w:rPr>
              <w:t>Q</w:t>
            </w:r>
            <w:r>
              <w:rPr>
                <w:rFonts w:hint="eastAsia"/>
                <w:sz w:val="21"/>
                <w:szCs w:val="21"/>
              </w:rPr>
              <w:t>4.1/4.2/4.3/4.4/</w:t>
            </w:r>
            <w:r>
              <w:rPr>
                <w:rFonts w:hint="default" w:ascii="Times New Roman" w:hAnsi="Times New Roman" w:eastAsia="宋体" w:cs="Times New Roman"/>
                <w:b w:val="0"/>
                <w:bCs/>
                <w:sz w:val="21"/>
                <w:szCs w:val="21"/>
              </w:rPr>
              <w:t>5.1/5.2/5.3/6.1/6.2/</w:t>
            </w:r>
            <w:r>
              <w:rPr>
                <w:rFonts w:hint="eastAsia" w:ascii="Times New Roman" w:hAnsi="Times New Roman" w:cs="Times New Roman"/>
                <w:b w:val="0"/>
                <w:bCs/>
                <w:sz w:val="21"/>
                <w:szCs w:val="21"/>
                <w:lang w:val="en-US" w:eastAsia="zh-CN"/>
              </w:rPr>
              <w:t>6.3/</w:t>
            </w:r>
            <w:r>
              <w:rPr>
                <w:rFonts w:hint="default" w:ascii="Times New Roman" w:hAnsi="Times New Roman" w:eastAsia="宋体" w:cs="Times New Roman"/>
                <w:b w:val="0"/>
                <w:bCs/>
                <w:sz w:val="21"/>
                <w:szCs w:val="21"/>
              </w:rPr>
              <w:t>7.1</w:t>
            </w:r>
            <w:r>
              <w:rPr>
                <w:rFonts w:hint="eastAsia" w:ascii="Times New Roman" w:hAnsi="Times New Roman" w:cs="Times New Roman"/>
                <w:b w:val="0"/>
                <w:bCs/>
                <w:sz w:val="21"/>
                <w:szCs w:val="21"/>
                <w:lang w:val="en-US" w:eastAsia="zh-CN"/>
              </w:rPr>
              <w:t>.1</w:t>
            </w:r>
            <w:r>
              <w:rPr>
                <w:rFonts w:hint="default" w:ascii="Times New Roman" w:hAnsi="Times New Roman" w:eastAsia="宋体" w:cs="Times New Roman"/>
                <w:b w:val="0"/>
                <w:bCs/>
                <w:sz w:val="21"/>
                <w:szCs w:val="21"/>
              </w:rPr>
              <w:t>/9.1.1/9.3/10.1/10.3</w:t>
            </w:r>
            <w:r>
              <w:rPr>
                <w:rFonts w:hint="eastAsia" w:ascii="Times New Roman" w:hAnsi="Times New Roman" w:cs="Times New Roman"/>
                <w:b w:val="0"/>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综合部</w:t>
            </w:r>
          </w:p>
        </w:tc>
        <w:tc>
          <w:tcPr>
            <w:tcW w:w="6804" w:type="dxa"/>
          </w:tcPr>
          <w:p>
            <w:pPr>
              <w:jc w:val="center"/>
              <w:rPr>
                <w:rFonts w:ascii="宋体" w:hAnsi="宋体"/>
                <w:b/>
                <w:color w:val="000000" w:themeColor="text1"/>
                <w:spacing w:val="-20"/>
                <w:sz w:val="20"/>
                <w:szCs w:val="20"/>
                <w:u w:val="single"/>
              </w:rPr>
            </w:pPr>
            <w:r>
              <w:rPr>
                <w:rFonts w:hint="eastAsia"/>
              </w:rPr>
              <w:t>Q:5.3/6.1/6.2/7.1.2/</w:t>
            </w:r>
            <w:r>
              <w:rPr>
                <w:rFonts w:hint="eastAsia"/>
                <w:lang w:val="en-US" w:eastAsia="zh-CN"/>
              </w:rPr>
              <w:t>7.1.3/</w:t>
            </w:r>
            <w:r>
              <w:rPr>
                <w:rFonts w:hint="eastAsia"/>
              </w:rPr>
              <w:t>7.2/7.3/7.4/7.5/9.1.3/9.2/10.2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销售及售后服务部</w:t>
            </w:r>
          </w:p>
        </w:tc>
        <w:tc>
          <w:tcPr>
            <w:tcW w:w="6804" w:type="dxa"/>
          </w:tcPr>
          <w:p>
            <w:pPr>
              <w:jc w:val="center"/>
              <w:rPr>
                <w:rFonts w:ascii="宋体" w:hAnsi="宋体"/>
                <w:b/>
                <w:color w:val="000000" w:themeColor="text1"/>
                <w:spacing w:val="-20"/>
                <w:sz w:val="20"/>
                <w:szCs w:val="20"/>
                <w:u w:val="single"/>
              </w:rPr>
            </w:pPr>
            <w:r>
              <w:rPr>
                <w:rFonts w:hint="eastAsia"/>
                <w:sz w:val="21"/>
                <w:szCs w:val="21"/>
              </w:rPr>
              <w:t>Q5.3/6.2/</w:t>
            </w:r>
            <w:r>
              <w:rPr>
                <w:rFonts w:hint="eastAsia"/>
                <w:sz w:val="21"/>
                <w:szCs w:val="21"/>
                <w:lang w:val="en-US" w:eastAsia="zh-CN"/>
              </w:rPr>
              <w:t>7.1.5/</w:t>
            </w:r>
            <w:r>
              <w:rPr>
                <w:rFonts w:hint="eastAsia"/>
                <w:sz w:val="21"/>
                <w:szCs w:val="21"/>
              </w:rPr>
              <w:t>8.1/</w:t>
            </w:r>
            <w:r>
              <w:rPr>
                <w:rFonts w:hint="eastAsia"/>
                <w:sz w:val="21"/>
                <w:szCs w:val="21"/>
                <w:lang w:val="en-US" w:eastAsia="zh-CN"/>
              </w:rPr>
              <w:t>8.2/8.3/</w:t>
            </w:r>
            <w:r>
              <w:rPr>
                <w:rFonts w:hint="eastAsia"/>
                <w:sz w:val="21"/>
                <w:szCs w:val="21"/>
              </w:rPr>
              <w:t>8.5.1</w:t>
            </w:r>
            <w:r>
              <w:rPr>
                <w:rFonts w:hint="eastAsia"/>
                <w:sz w:val="21"/>
                <w:szCs w:val="21"/>
                <w:lang w:val="en-US" w:eastAsia="zh-CN"/>
              </w:rPr>
              <w:t>/8.5.3</w:t>
            </w:r>
            <w:r>
              <w:rPr>
                <w:rFonts w:hint="eastAsia"/>
                <w:sz w:val="21"/>
                <w:szCs w:val="21"/>
              </w:rPr>
              <w:t>/8.5.</w:t>
            </w:r>
            <w:r>
              <w:rPr>
                <w:rFonts w:hint="eastAsia"/>
                <w:sz w:val="21"/>
                <w:szCs w:val="21"/>
                <w:lang w:val="en-US" w:eastAsia="zh-CN"/>
              </w:rPr>
              <w:t>4</w:t>
            </w:r>
            <w:r>
              <w:rPr>
                <w:rFonts w:hint="eastAsia"/>
                <w:sz w:val="21"/>
                <w:szCs w:val="21"/>
              </w:rPr>
              <w:t>/8.5.</w:t>
            </w:r>
            <w:r>
              <w:rPr>
                <w:rFonts w:hint="eastAsia"/>
                <w:sz w:val="21"/>
                <w:szCs w:val="21"/>
                <w:lang w:val="en-US" w:eastAsia="zh-CN"/>
              </w:rPr>
              <w:t>5/8.5.6</w:t>
            </w:r>
            <w:r>
              <w:rPr>
                <w:rFonts w:hint="eastAsia"/>
                <w:sz w:val="21"/>
                <w:szCs w:val="21"/>
              </w:rPr>
              <w:t>/8.6</w:t>
            </w:r>
            <w:r>
              <w:rPr>
                <w:rFonts w:hint="eastAsia"/>
                <w:sz w:val="21"/>
                <w:szCs w:val="21"/>
                <w:lang w:val="en-US" w:eastAsia="zh-CN"/>
              </w:rPr>
              <w:t>/9.1.2</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采购部</w:t>
            </w:r>
          </w:p>
        </w:tc>
        <w:tc>
          <w:tcPr>
            <w:tcW w:w="6804" w:type="dxa"/>
          </w:tcPr>
          <w:p>
            <w:pPr>
              <w:jc w:val="center"/>
              <w:rPr>
                <w:rFonts w:ascii="宋体" w:hAnsi="宋体"/>
                <w:b/>
                <w:color w:val="000000" w:themeColor="text1"/>
                <w:spacing w:val="-20"/>
                <w:sz w:val="20"/>
                <w:szCs w:val="20"/>
                <w:u w:val="single"/>
              </w:rPr>
            </w:pPr>
            <w:r>
              <w:rPr>
                <w:rFonts w:hint="eastAsia"/>
                <w:sz w:val="21"/>
                <w:szCs w:val="21"/>
              </w:rPr>
              <w:t>Q5.3/6.2</w:t>
            </w:r>
            <w:r>
              <w:rPr>
                <w:rFonts w:hint="eastAsia"/>
                <w:sz w:val="21"/>
                <w:szCs w:val="21"/>
                <w:lang w:val="en-US" w:eastAsia="zh-CN"/>
              </w:rPr>
              <w:t>/</w:t>
            </w:r>
            <w:r>
              <w:rPr>
                <w:rFonts w:hint="eastAsia"/>
                <w:sz w:val="21"/>
                <w:szCs w:val="21"/>
              </w:rPr>
              <w:t>8.</w:t>
            </w:r>
            <w:r>
              <w:rPr>
                <w:rFonts w:hint="eastAsia"/>
                <w:sz w:val="21"/>
                <w:szCs w:val="21"/>
                <w:lang w:val="en-US" w:eastAsia="zh-CN"/>
              </w:rPr>
              <w:t>4</w:t>
            </w:r>
            <w:r>
              <w:rPr>
                <w:rFonts w:hint="eastAsia"/>
                <w:sz w:val="21"/>
                <w:szCs w:val="21"/>
              </w:rPr>
              <w:t>/</w:t>
            </w:r>
            <w:r>
              <w:rPr>
                <w:rFonts w:hint="eastAsia"/>
                <w:sz w:val="21"/>
                <w:szCs w:val="21"/>
                <w:lang w:val="en-US" w:eastAsia="zh-CN"/>
              </w:rPr>
              <w:t>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hint="eastAsia" w:ascii="宋体" w:hAnsi="宋体" w:eastAsia="宋体"/>
                <w:b/>
                <w:color w:val="000000" w:themeColor="text1"/>
                <w:szCs w:val="21"/>
                <w:lang w:val="en-US" w:eastAsia="zh-CN"/>
              </w:rPr>
            </w:pPr>
            <w:r>
              <w:rPr>
                <w:rFonts w:hint="eastAsia" w:ascii="宋体" w:hAnsi="宋体"/>
                <w:b/>
                <w:color w:val="000000" w:themeColor="text1"/>
                <w:szCs w:val="21"/>
                <w:lang w:val="en-US" w:eastAsia="zh-CN"/>
              </w:rPr>
              <w:t>/</w:t>
            </w: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ascii="宋体" w:hAnsi="宋体"/>
                <w:b/>
                <w:color w:val="000000" w:themeColor="text1"/>
                <w:sz w:val="20"/>
                <w:szCs w:val="20"/>
              </w:rPr>
              <w:t>焊接机器人设备及配件的销售服务</w:t>
            </w:r>
          </w:p>
        </w:tc>
        <w:tc>
          <w:tcPr>
            <w:tcW w:w="2519"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销售</w:t>
            </w:r>
          </w:p>
        </w:tc>
        <w:tc>
          <w:tcPr>
            <w:tcW w:w="1843"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3543"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8</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r>
        <w:rPr>
          <w:rFonts w:hint="eastAsia"/>
          <w:b/>
          <w:color w:val="000000" w:themeColor="text1"/>
          <w:spacing w:val="-10"/>
          <w:szCs w:val="21"/>
          <w:lang w:val="en-US" w:eastAsia="zh-CN"/>
        </w:rPr>
        <w:t>14</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rPr>
                <w:rFonts w:hint="eastAsia" w:ascii="Times New Roman" w:hAnsi="Times New Roman" w:eastAsia="宋体" w:cs="Times New Roman"/>
                <w:szCs w:val="22"/>
                <w:lang w:val="en-US" w:eastAsia="zh-CN"/>
              </w:rPr>
            </w:pPr>
            <w:r>
              <w:rPr>
                <w:b/>
                <w:color w:val="000000" w:themeColor="text1"/>
                <w:sz w:val="20"/>
                <w:szCs w:val="20"/>
              </w:rPr>
              <w:t>2、</w:t>
            </w:r>
            <w:r>
              <w:rPr>
                <w:rFonts w:hint="eastAsia"/>
                <w:b/>
                <w:color w:val="000000" w:themeColor="text1"/>
                <w:sz w:val="20"/>
                <w:szCs w:val="20"/>
              </w:rPr>
              <w:t>相关方需求和期望识别情况</w:t>
            </w:r>
            <w:r>
              <w:rPr>
                <w:rFonts w:hint="eastAsia" w:ascii="Times New Roman" w:hAnsi="Times New Roman" w:eastAsia="宋体" w:cs="Times New Roman"/>
                <w:szCs w:val="22"/>
                <w:lang w:val="en-US" w:eastAsia="zh-CN"/>
              </w:rPr>
              <w:t>公司确定了与管理体系有关的相关方包括顾客、政府机构、社区、供应商、内部员工等。相关方对企业的要求有：遵守国家的现行法律法规、保持有效的资质、产品合格、按时送货、不断提高客户满意度等。</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公司通过以下行为满足相关方需求和期望：</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——关注顾客需求，通过持续改进增强用户满意；</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——遵守国家和地方各项法律法规，履行合规义务；</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——持续改进管理体系过程，提升服务质量、环境、安全绩效。</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公司管理层及相关部门将持续关注相关方需求的变化，必要时通过评估风险和机遇，调整管理体系目标和指标或变更管理过程以适应这些变化或实现改进。</w:t>
            </w:r>
          </w:p>
          <w:p>
            <w:pPr>
              <w:spacing w:line="240" w:lineRule="exact"/>
              <w:rPr>
                <w:b/>
                <w:color w:val="000000" w:themeColor="text1"/>
                <w:sz w:val="20"/>
                <w:szCs w:val="20"/>
              </w:rPr>
            </w:pPr>
            <w:r>
              <w:rPr>
                <w:rFonts w:hint="eastAsia" w:ascii="Times New Roman" w:hAnsi="Times New Roman" w:eastAsia="宋体" w:cs="Times New Roman"/>
                <w:szCs w:val="22"/>
                <w:lang w:val="en-US" w:eastAsia="zh-CN"/>
              </w:rPr>
              <w:t>对这些相关方监视和评审的方法有：上级文件、标准和规范的获取、客户走访调查、沟通等。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公司的质量方针是：</w:t>
            </w:r>
          </w:p>
          <w:p>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诚信为本</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以质量求生存</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科技创新</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追求行业领先水平</w:t>
            </w:r>
          </w:p>
          <w:p>
            <w:pPr>
              <w:keepNext w:val="0"/>
              <w:keepLines w:val="0"/>
              <w:pageBreakBefore w:val="0"/>
              <w:kinsoku/>
              <w:wordWrap/>
              <w:overflowPunct/>
              <w:topLinePunct w:val="0"/>
              <w:bidi w:val="0"/>
              <w:snapToGrid/>
              <w:spacing w:line="360" w:lineRule="exact"/>
              <w:textAlignment w:val="auto"/>
            </w:pPr>
            <w:r>
              <w:rPr>
                <w:rFonts w:hint="eastAsia" w:cs="宋体"/>
              </w:rPr>
              <w:t>管理方针与企业的经营宗旨相适应，协调；</w:t>
            </w:r>
          </w:p>
          <w:p>
            <w:pPr>
              <w:spacing w:line="240" w:lineRule="exact"/>
              <w:ind w:left="199" w:leftChars="95"/>
              <w:rPr>
                <w:b/>
                <w:color w:val="000000" w:themeColor="text1"/>
              </w:rPr>
            </w:pP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r>
              <w:rPr>
                <w:rFonts w:hint="eastAsia"/>
              </w:rPr>
              <w:t>公司</w:t>
            </w:r>
            <w:r>
              <w:rPr>
                <w:rFonts w:hint="eastAsia"/>
                <w:lang w:val="en-US" w:eastAsia="zh-CN"/>
              </w:rPr>
              <w:t>编制</w:t>
            </w:r>
            <w:r>
              <w:rPr>
                <w:rFonts w:hint="eastAsia"/>
              </w:rPr>
              <w:t>《</w:t>
            </w:r>
            <w:r>
              <w:rPr>
                <w:rFonts w:ascii="宋体" w:hAnsi="宋体"/>
                <w:kern w:val="0"/>
                <w:szCs w:val="21"/>
              </w:rPr>
              <w:t>应对风险和机遇的措施表</w:t>
            </w:r>
            <w:r>
              <w:rPr>
                <w:rFonts w:hint="eastAsia"/>
              </w:rPr>
              <w:t>》，公司</w:t>
            </w:r>
            <w:r>
              <w:rPr>
                <w:rFonts w:hint="eastAsia"/>
                <w:lang w:val="en-US" w:eastAsia="zh-CN"/>
              </w:rPr>
              <w:t>分别从顾客需求、公司内部、适用的法律法规等方面</w:t>
            </w:r>
            <w:r>
              <w:rPr>
                <w:rFonts w:hint="eastAsia"/>
              </w:rPr>
              <w:t>识别了必要的风险和机遇，如：方针和目标变更的需求，</w:t>
            </w:r>
            <w:r>
              <w:rPr>
                <w:rFonts w:hint="eastAsia"/>
                <w:lang w:val="en-US" w:eastAsia="zh-CN"/>
              </w:rPr>
              <w:t>顾客需求</w:t>
            </w:r>
            <w:r>
              <w:rPr>
                <w:rFonts w:hint="eastAsia"/>
              </w:rPr>
              <w:t>变更，</w:t>
            </w:r>
            <w:r>
              <w:rPr>
                <w:rFonts w:hint="eastAsia"/>
                <w:lang w:val="en-US" w:eastAsia="zh-CN"/>
              </w:rPr>
              <w:t>服务方式变更</w:t>
            </w:r>
            <w:r>
              <w:rPr>
                <w:rFonts w:hint="eastAsia"/>
                <w:lang w:eastAsia="zh-CN"/>
              </w:rPr>
              <w:t>、</w:t>
            </w:r>
            <w:r>
              <w:rPr>
                <w:rFonts w:hint="eastAsia"/>
                <w:lang w:val="en-US" w:eastAsia="zh-CN"/>
              </w:rPr>
              <w:t>法律法规变更、外部环境（包括空气 水的变化）</w:t>
            </w:r>
            <w:r>
              <w:rPr>
                <w:rFonts w:hint="eastAsia"/>
              </w:rPr>
              <w:t>等风险，制定了相应的应对措施，制定了负责的部门和具体的实施方案，需要的资金和日程安排</w:t>
            </w:r>
            <w:r>
              <w:rPr>
                <w:rFonts w:hint="eastAsia"/>
                <w:lang w:val="en-US" w:eastAsia="zh-CN"/>
              </w:rPr>
              <w:t>等，</w:t>
            </w:r>
            <w:r>
              <w:rPr>
                <w:rFonts w:hint="eastAsia"/>
              </w:rPr>
              <w:t>如</w:t>
            </w:r>
            <w:r>
              <w:rPr>
                <w:rFonts w:hint="eastAsia"/>
                <w:lang w:eastAsia="zh-CN"/>
              </w:rPr>
              <w:t>针对顾客需求的变更</w:t>
            </w:r>
            <w:r>
              <w:rPr>
                <w:rFonts w:hint="eastAsia"/>
              </w:rPr>
              <w:t>，由</w:t>
            </w:r>
            <w:r>
              <w:rPr>
                <w:rFonts w:hint="eastAsia"/>
                <w:lang w:eastAsia="zh-CN"/>
              </w:rPr>
              <w:t>销售部紧密与客户沟通</w:t>
            </w:r>
            <w:r>
              <w:rPr>
                <w:rFonts w:hint="eastAsia"/>
              </w:rPr>
              <w:t>，是否有更新的需求</w:t>
            </w:r>
            <w:r>
              <w:rPr>
                <w:rFonts w:hint="eastAsia"/>
                <w:lang w:eastAsia="zh-CN"/>
              </w:rPr>
              <w:t>，</w:t>
            </w:r>
            <w:r>
              <w:rPr>
                <w:rFonts w:hint="eastAsia"/>
                <w:lang w:val="en-US" w:eastAsia="zh-CN"/>
              </w:rPr>
              <w:t>经查</w:t>
            </w:r>
            <w:r>
              <w:rPr>
                <w:rFonts w:hint="eastAsia"/>
              </w:rPr>
              <w:t>暂无变更需求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sz w:val="21"/>
                <w:szCs w:val="21"/>
                <w:lang w:val="en-US" w:eastAsia="zh-CN"/>
              </w:rPr>
              <w:t>与顾客有关的过程；生产和服务提供过程；产品和服务的放行；</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销售服务</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hint="eastAsia"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val="en-US" w:eastAsia="zh-CN"/>
              </w:rPr>
              <w:t>销售服务</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QMS8.3</w:t>
            </w:r>
            <w:r>
              <w:rPr>
                <w:rFonts w:hint="eastAsia" w:ascii="宋体" w:hAnsi="宋体"/>
                <w:b/>
                <w:color w:val="000000" w:themeColor="text1"/>
                <w:sz w:val="20"/>
                <w:szCs w:val="20"/>
              </w:rPr>
              <w:t xml:space="preserve">   ，不适用理由：</w:t>
            </w:r>
            <w:r>
              <w:rPr>
                <w:rFonts w:hint="eastAsia" w:eastAsia="宋体"/>
                <w:szCs w:val="22"/>
                <w:lang w:val="en-US" w:eastAsia="zh-CN"/>
              </w:rPr>
              <w:t>因公司所销售的产品，按照国家标准及顾客的要求进行</w:t>
            </w:r>
            <w:r>
              <w:rPr>
                <w:rFonts w:hint="eastAsia" w:eastAsia="宋体"/>
                <w:szCs w:val="22"/>
                <w:u w:val="single"/>
                <w:lang w:val="en-US" w:eastAsia="zh-CN"/>
              </w:rPr>
              <w:t>，该条款的不适用,不影响组织确保其产品和服务合格的能力和责任，也不会对增强顾客满意产生影响。</w:t>
            </w:r>
            <w:r>
              <w:rPr>
                <w:rFonts w:hint="eastAsia" w:ascii="宋体" w:hAnsi="宋体"/>
                <w:b/>
                <w:color w:val="000000" w:themeColor="text1"/>
                <w:sz w:val="20"/>
                <w:szCs w:val="20"/>
              </w:rPr>
              <w:t xml:space="preserve">       </w:t>
            </w:r>
          </w:p>
          <w:p>
            <w:pPr>
              <w:tabs>
                <w:tab w:val="left" w:pos="540"/>
              </w:tabs>
              <w:spacing w:line="300" w:lineRule="exact"/>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rFonts w:hint="eastAsia" w:eastAsia="宋体"/>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产品/服务□环境因素□危险源，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公司管理层以公司的质量方针为框架，结合公司的实际运营情况，制定公司的质量管理目标，为： </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1）顾客满意率：&gt;95%</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2）合同履约率：100%</w:t>
            </w:r>
          </w:p>
          <w:p>
            <w:pPr>
              <w:spacing w:line="240" w:lineRule="exact"/>
              <w:rPr>
                <w:rFonts w:ascii="宋体" w:hAnsi="宋体"/>
                <w:b/>
                <w:color w:val="000000" w:themeColor="text1"/>
              </w:rPr>
            </w:pPr>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w:t>
            </w:r>
            <w:r>
              <w:rPr>
                <w:rFonts w:hint="eastAsia" w:ascii="Times New Roman" w:hAnsi="Times New Roman" w:cs="宋体"/>
                <w:lang w:val="en-US" w:eastAsia="zh-CN"/>
              </w:rPr>
              <w:t>查看2020年下半年各部门目标考核记录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Times New Roman" w:hAnsi="Times New Roman" w:cs="宋体"/>
              </w:rPr>
              <w:t>管理体系文件由</w:t>
            </w:r>
            <w:r>
              <w:rPr>
                <w:rFonts w:hint="eastAsia" w:cs="宋体"/>
                <w:lang w:val="en-US" w:eastAsia="zh-CN"/>
              </w:rPr>
              <w:t>综合部</w:t>
            </w:r>
            <w:r>
              <w:rPr>
                <w:rFonts w:hint="eastAsia" w:ascii="Times New Roman" w:hAnsi="Times New Roman" w:cs="宋体"/>
              </w:rPr>
              <w:t>组织编写，总经理批准发布实施，</w:t>
            </w:r>
            <w:r>
              <w:rPr>
                <w:rFonts w:hint="eastAsia" w:cs="宋体"/>
                <w:lang w:val="en-US" w:eastAsia="zh-CN"/>
              </w:rPr>
              <w:t>综合部</w:t>
            </w:r>
            <w:r>
              <w:rPr>
                <w:rFonts w:hint="eastAsia" w:ascii="Times New Roman" w:hAnsi="Times New Roman" w:cs="宋体"/>
              </w:rPr>
              <w:t>打印传阅，公司文件柜存放，电子版本在电脑桌面上，每个人均可查阅。外来文件电子版本在电脑桌面上，每个人均可查阅。记录管理：</w:t>
            </w:r>
            <w:r>
              <w:rPr>
                <w:rFonts w:hint="eastAsia" w:cs="宋体"/>
                <w:lang w:val="en-US" w:eastAsia="zh-CN"/>
              </w:rPr>
              <w:t>综合部</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ascii="Times New Roman" w:hAnsi="Times New Roman" w:cs="宋体"/>
                <w:lang w:val="en-US" w:eastAsia="zh-CN"/>
              </w:rPr>
              <w:t>综合部</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sz w:val="21"/>
                <w:szCs w:val="21"/>
              </w:rPr>
              <w:t>公司共有员工</w:t>
            </w:r>
            <w:r>
              <w:rPr>
                <w:rFonts w:hint="eastAsia"/>
                <w:sz w:val="21"/>
                <w:szCs w:val="21"/>
                <w:lang w:val="en-US" w:eastAsia="zh-CN"/>
              </w:rPr>
              <w:t>13</w:t>
            </w:r>
            <w:r>
              <w:rPr>
                <w:rFonts w:hint="eastAsia"/>
                <w:sz w:val="21"/>
                <w:szCs w:val="21"/>
              </w:rPr>
              <w:t>人，其中管理人员</w:t>
            </w:r>
            <w:r>
              <w:rPr>
                <w:rFonts w:hint="eastAsia"/>
                <w:sz w:val="21"/>
                <w:szCs w:val="21"/>
                <w:lang w:val="en-US" w:eastAsia="zh-CN"/>
              </w:rPr>
              <w:t>4</w:t>
            </w:r>
            <w:r>
              <w:rPr>
                <w:rFonts w:hint="eastAsia"/>
                <w:sz w:val="21"/>
                <w:szCs w:val="21"/>
              </w:rPr>
              <w:t>人，满足</w:t>
            </w:r>
            <w:r>
              <w:rPr>
                <w:rFonts w:hint="eastAsia"/>
                <w:sz w:val="21"/>
                <w:szCs w:val="21"/>
                <w:lang w:val="en-US" w:eastAsia="zh-CN"/>
              </w:rPr>
              <w:t>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sz w:val="21"/>
                <w:szCs w:val="21"/>
              </w:rPr>
              <w:t>配备有</w:t>
            </w:r>
            <w:r>
              <w:rPr>
                <w:rFonts w:hint="eastAsia"/>
                <w:sz w:val="21"/>
                <w:szCs w:val="21"/>
                <w:lang w:eastAsia="zh-CN"/>
              </w:rPr>
              <w:t>办公室</w:t>
            </w:r>
            <w:r>
              <w:rPr>
                <w:rFonts w:hint="eastAsia"/>
                <w:sz w:val="21"/>
                <w:szCs w:val="21"/>
              </w:rPr>
              <w:t>等基础设施，主要设</w:t>
            </w:r>
            <w:r>
              <w:rPr>
                <w:rFonts w:hint="eastAsia"/>
                <w:sz w:val="21"/>
                <w:szCs w:val="21"/>
                <w:lang w:eastAsia="zh-CN"/>
              </w:rPr>
              <w:t>施：</w:t>
            </w:r>
            <w:r>
              <w:rPr>
                <w:rFonts w:hint="eastAsia" w:ascii="宋体" w:hAnsi="宋体"/>
                <w:color w:val="000000"/>
                <w:spacing w:val="-10"/>
                <w:sz w:val="20"/>
                <w:szCs w:val="20"/>
                <w:lang w:val="en-US" w:eastAsia="zh-CN"/>
              </w:rPr>
              <w:t>电脑、一体机、电话、沙发等办公设备</w:t>
            </w:r>
            <w:r>
              <w:rPr>
                <w:rFonts w:hint="eastAsia"/>
                <w:sz w:val="21"/>
                <w:szCs w:val="21"/>
              </w:rPr>
              <w:t>，满足</w:t>
            </w:r>
            <w:r>
              <w:rPr>
                <w:rFonts w:hint="eastAsia"/>
                <w:sz w:val="21"/>
                <w:szCs w:val="21"/>
                <w:lang w:val="en-US" w:eastAsia="zh-CN"/>
              </w:rPr>
              <w:t>销售</w:t>
            </w:r>
            <w:r>
              <w:rPr>
                <w:rFonts w:hint="eastAsia"/>
                <w:sz w:val="21"/>
                <w:szCs w:val="21"/>
                <w:lang w:eastAsia="zh-CN"/>
              </w:rPr>
              <w:t>服务</w:t>
            </w:r>
            <w:r>
              <w:rPr>
                <w:rFonts w:hint="eastAsia"/>
                <w:sz w:val="21"/>
                <w:szCs w:val="21"/>
              </w:rPr>
              <w:t>需求</w:t>
            </w:r>
            <w:r>
              <w:rPr>
                <w:rFonts w:hint="eastAsia" w:ascii="宋体" w:hAnsi="宋体"/>
                <w:szCs w:val="21"/>
                <w:lang w:eastAsia="zh-CN"/>
              </w:rPr>
              <w:t>。</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r>
              <w:rPr>
                <w:rFonts w:hint="eastAsia"/>
                <w:sz w:val="21"/>
                <w:szCs w:val="21"/>
                <w:lang w:val="en-US" w:eastAsia="zh-CN"/>
              </w:rPr>
              <w:t>公司经营店</w:t>
            </w:r>
            <w:r>
              <w:rPr>
                <w:rFonts w:hint="eastAsia" w:ascii="Times New Roman" w:hAnsi="Times New Roman" w:eastAsia="宋体" w:cs="宋体"/>
                <w:lang w:val="en-US" w:eastAsia="zh-CN"/>
              </w:rPr>
              <w:t>址：</w:t>
            </w:r>
            <w:r>
              <w:rPr>
                <w:rFonts w:ascii="宋体" w:hAnsi="宋体"/>
                <w:b w:val="0"/>
                <w:bCs/>
                <w:color w:val="000000" w:themeColor="text1"/>
                <w:sz w:val="20"/>
                <w:szCs w:val="20"/>
              </w:rPr>
              <w:t>北京市顺义区赵全营镇兆丰产业基地园盈路16号2幢2层220室</w:t>
            </w:r>
            <w:r>
              <w:rPr>
                <w:rFonts w:hint="eastAsia" w:ascii="Times New Roman" w:hAnsi="Times New Roman" w:eastAsia="宋体" w:cs="宋体"/>
                <w:b w:val="0"/>
                <w:bCs/>
                <w:lang w:eastAsia="zh-CN"/>
              </w:rPr>
              <w:t>；</w:t>
            </w:r>
            <w:r>
              <w:rPr>
                <w:rFonts w:hint="eastAsia" w:ascii="Times New Roman" w:hAnsi="Times New Roman" w:eastAsia="宋体" w:cs="宋体"/>
                <w:lang w:eastAsia="zh-CN"/>
              </w:rPr>
              <w:t>办公区域</w:t>
            </w:r>
            <w:r>
              <w:rPr>
                <w:rFonts w:hint="eastAsia" w:ascii="Times New Roman" w:hAnsi="Times New Roman" w:eastAsia="宋体" w:cs="宋体"/>
                <w:lang w:val="en-US" w:eastAsia="zh-CN"/>
              </w:rPr>
              <w:t>，</w:t>
            </w:r>
            <w:r>
              <w:rPr>
                <w:rFonts w:hint="eastAsia" w:ascii="Times New Roman" w:hAnsi="Times New Roman" w:eastAsia="宋体" w:cs="宋体"/>
                <w:lang w:eastAsia="zh-CN"/>
              </w:rPr>
              <w:t>布局合理，场所卫生干净整洁，</w:t>
            </w:r>
            <w:r>
              <w:rPr>
                <w:rFonts w:hint="eastAsia" w:ascii="Times New Roman" w:hAnsi="Times New Roman" w:eastAsia="宋体" w:cs="宋体"/>
                <w:lang w:val="en-US" w:eastAsia="zh-CN"/>
              </w:rPr>
              <w:t>温度适宜、通风良好、</w:t>
            </w:r>
            <w:r>
              <w:rPr>
                <w:rFonts w:hint="eastAsia" w:ascii="Times New Roman" w:hAnsi="Times New Roman" w:eastAsia="宋体" w:cs="宋体"/>
                <w:lang w:eastAsia="zh-CN"/>
              </w:rPr>
              <w:t>工作环境良好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r>
              <w:rPr>
                <w:rFonts w:hint="eastAsia"/>
                <w:sz w:val="21"/>
                <w:szCs w:val="21"/>
                <w:lang w:eastAsia="zh-CN"/>
              </w:rPr>
              <w:t>组织对服务质量进行检查、对顾客满意度进行调查，制定了对应表格</w:t>
            </w: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ascii="宋体" w:hAnsi="宋体"/>
                <w:b/>
                <w:color w:val="000000" w:themeColor="text1"/>
                <w:sz w:val="20"/>
                <w:szCs w:val="20"/>
              </w:rPr>
            </w:pPr>
            <w:r>
              <w:rPr>
                <w:rFonts w:hint="eastAsia"/>
                <w:sz w:val="21"/>
                <w:szCs w:val="21"/>
              </w:rPr>
              <w:t>公司对法律法规及其他要求进行了获取，</w:t>
            </w:r>
            <w:r>
              <w:rPr>
                <w:rFonts w:hint="eastAsia"/>
                <w:sz w:val="21"/>
                <w:szCs w:val="21"/>
                <w:lang w:val="en-US" w:eastAsia="zh-CN"/>
              </w:rPr>
              <w:t>包括</w:t>
            </w:r>
            <w:r>
              <w:rPr>
                <w:rFonts w:hint="eastAsia" w:ascii="Times New Roman" w:hAnsi="Times New Roman" w:eastAsia="宋体" w:cs="宋体"/>
                <w:szCs w:val="22"/>
                <w:lang w:val="en-US" w:eastAsia="zh-CN"/>
              </w:rPr>
              <w:t>GB/T19001-2016质量管理体系要求、消防法、计量法、标准化法、劳动合同法、招标投标法、环境保护法、安全生产法、合同法、价格法、消费者权益保护法、产品质量法、GB/T15579.1-2013弧焊设备第1部分、GB/T8118-2010电弧焊机通用技术条件中的6.15、6.16等法规及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灭火器、警示牌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公司的质量方针是：</w:t>
            </w:r>
          </w:p>
          <w:p>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诚信为本</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以质量求生存</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科技创新</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追求行业领先水平</w:t>
            </w:r>
          </w:p>
          <w:p>
            <w:pPr>
              <w:keepNext w:val="0"/>
              <w:keepLines w:val="0"/>
              <w:pageBreakBefore w:val="0"/>
              <w:kinsoku/>
              <w:wordWrap/>
              <w:overflowPunct/>
              <w:topLinePunct w:val="0"/>
              <w:bidi w:val="0"/>
              <w:snapToGrid/>
              <w:spacing w:line="360" w:lineRule="exact"/>
              <w:textAlignment w:val="auto"/>
            </w:pPr>
            <w:r>
              <w:rPr>
                <w:rFonts w:hint="eastAsia" w:cs="宋体"/>
              </w:rPr>
              <w:t>管理方针与企业的经营宗旨相适应，协调；</w:t>
            </w:r>
          </w:p>
          <w:p>
            <w:pPr>
              <w:spacing w:line="300" w:lineRule="exact"/>
              <w:ind w:left="1"/>
              <w:rPr>
                <w:b/>
                <w:color w:val="000000" w:themeColor="text1"/>
                <w:sz w:val="20"/>
                <w:szCs w:val="20"/>
              </w:rPr>
            </w:pP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w:t>
            </w:r>
            <w:r>
              <w:rPr>
                <w:rFonts w:hint="eastAsia" w:ascii="宋体" w:hAnsi="宋体"/>
                <w:szCs w:val="21"/>
                <w:lang w:val="en-US" w:eastAsia="zh-CN"/>
              </w:rPr>
              <w:t>网络、</w:t>
            </w:r>
            <w:r>
              <w:rPr>
                <w:rFonts w:hint="eastAsia" w:ascii="宋体" w:hAnsi="宋体"/>
                <w:szCs w:val="21"/>
              </w:rPr>
              <w:t>面谈等方式进行内部沟通</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Times New Roman"/>
                <w:szCs w:val="21"/>
                <w:lang w:val="en-US" w:eastAsia="zh-CN"/>
              </w:rPr>
              <w:t>对顾客回访，进行满意度调查。</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1.</w:t>
            </w:r>
            <w:r>
              <w:rPr>
                <w:rFonts w:hint="eastAsia"/>
                <w:sz w:val="21"/>
                <w:szCs w:val="21"/>
                <w:lang w:val="en-US" w:eastAsia="zh-CN"/>
              </w:rPr>
              <w:t>与顾客有关过程的控制</w:t>
            </w:r>
            <w:r>
              <w:rPr>
                <w:rFonts w:hint="eastAsia"/>
                <w:sz w:val="21"/>
                <w:szCs w:val="21"/>
              </w:rPr>
              <w:t>：主要根据顾客提出的产品</w:t>
            </w:r>
            <w:r>
              <w:rPr>
                <w:rFonts w:hint="eastAsia"/>
                <w:sz w:val="21"/>
                <w:szCs w:val="21"/>
                <w:lang w:val="en-US" w:eastAsia="zh-CN"/>
              </w:rPr>
              <w:t>和服务</w:t>
            </w:r>
            <w:r>
              <w:rPr>
                <w:rFonts w:hint="eastAsia"/>
                <w:sz w:val="21"/>
                <w:szCs w:val="21"/>
              </w:rPr>
              <w:t>要求/标书中明示要求等进行控制，要求进行合同评审确保能满足客户需求，</w:t>
            </w:r>
            <w:r>
              <w:rPr>
                <w:rFonts w:hint="eastAsia" w:ascii="宋体" w:hAnsi="宋体"/>
                <w:color w:val="auto"/>
                <w:kern w:val="2"/>
                <w:sz w:val="21"/>
                <w:szCs w:val="21"/>
                <w:lang w:eastAsia="zh-CN" w:bidi="ar-SA"/>
              </w:rPr>
              <w:t>在签订正式合同前，由</w:t>
            </w:r>
            <w:r>
              <w:rPr>
                <w:rFonts w:hint="eastAsia" w:ascii="宋体" w:hAnsi="宋体"/>
                <w:color w:val="auto"/>
                <w:kern w:val="2"/>
                <w:sz w:val="21"/>
                <w:szCs w:val="21"/>
                <w:lang w:val="en-US" w:eastAsia="zh-CN" w:bidi="ar-SA"/>
              </w:rPr>
              <w:t>销售部</w:t>
            </w:r>
            <w:r>
              <w:rPr>
                <w:rFonts w:hint="eastAsia" w:ascii="宋体" w:hAnsi="宋体"/>
                <w:color w:val="auto"/>
                <w:kern w:val="2"/>
                <w:sz w:val="21"/>
                <w:szCs w:val="21"/>
                <w:lang w:eastAsia="zh-CN" w:bidi="ar-SA"/>
              </w:rPr>
              <w:t>组织进行合同评审，</w:t>
            </w:r>
            <w:r>
              <w:rPr>
                <w:rFonts w:hint="eastAsia" w:ascii="宋体" w:hAnsi="宋体"/>
                <w:color w:val="auto"/>
                <w:kern w:val="2"/>
                <w:sz w:val="21"/>
                <w:szCs w:val="21"/>
                <w:lang w:val="en-US" w:eastAsia="zh-CN" w:bidi="ar-SA"/>
              </w:rPr>
              <w:t>目前控制情况符合要求</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2.采购过程控制：</w:t>
            </w:r>
            <w:r>
              <w:rPr>
                <w:rFonts w:hint="eastAsia"/>
                <w:sz w:val="21"/>
                <w:szCs w:val="21"/>
                <w:lang w:val="en-US" w:eastAsia="zh-CN"/>
              </w:rPr>
              <w:t>主要采焊接机器人成品及其配件</w:t>
            </w:r>
            <w:r>
              <w:rPr>
                <w:rFonts w:hint="eastAsia"/>
                <w:b w:val="0"/>
                <w:bCs w:val="0"/>
                <w:sz w:val="21"/>
                <w:szCs w:val="21"/>
                <w:lang w:val="en-US" w:eastAsia="zh-CN"/>
              </w:rPr>
              <w:t>等</w:t>
            </w:r>
            <w:r>
              <w:rPr>
                <w:rFonts w:hint="eastAsia"/>
                <w:sz w:val="21"/>
                <w:szCs w:val="21"/>
                <w:lang w:val="en-US" w:eastAsia="zh-CN"/>
              </w:rPr>
              <w:t>，</w:t>
            </w:r>
            <w:r>
              <w:rPr>
                <w:rFonts w:hint="eastAsia"/>
                <w:sz w:val="21"/>
                <w:szCs w:val="21"/>
              </w:rPr>
              <w:t>编制</w:t>
            </w:r>
            <w:r>
              <w:rPr>
                <w:rFonts w:hint="eastAsia"/>
                <w:sz w:val="21"/>
                <w:szCs w:val="21"/>
                <w:lang w:eastAsia="zh-CN"/>
              </w:rPr>
              <w:t>进货检验规范</w:t>
            </w:r>
            <w:r>
              <w:rPr>
                <w:rFonts w:hint="eastAsia"/>
                <w:sz w:val="21"/>
                <w:szCs w:val="21"/>
              </w:rPr>
              <w:t>等作业文件规定采购产品质量要求；其次对供方进行了评价</w:t>
            </w:r>
            <w:r>
              <w:rPr>
                <w:rFonts w:hint="eastAsia"/>
                <w:color w:val="auto"/>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3.生产和服务提供</w:t>
            </w:r>
            <w:r>
              <w:rPr>
                <w:rFonts w:hint="eastAsia"/>
                <w:sz w:val="21"/>
                <w:szCs w:val="21"/>
                <w:lang w:val="en-US" w:eastAsia="zh-CN"/>
              </w:rPr>
              <w:t>的控制</w:t>
            </w:r>
            <w:r>
              <w:rPr>
                <w:rFonts w:hint="eastAsia"/>
                <w:sz w:val="21"/>
                <w:szCs w:val="21"/>
              </w:rPr>
              <w:t>：</w:t>
            </w:r>
            <w:r>
              <w:rPr>
                <w:rFonts w:hint="eastAsia" w:ascii="宋体" w:hAnsi="宋体"/>
                <w:sz w:val="21"/>
                <w:szCs w:val="21"/>
                <w:lang w:val="en-US" w:eastAsia="zh-CN"/>
              </w:rPr>
              <w:t>根据国家法律法规要求、顾客要求，编制了《</w:t>
            </w:r>
            <w:r>
              <w:rPr>
                <w:rFonts w:hint="eastAsia" w:ascii="宋体" w:hAnsi="宋体"/>
                <w:color w:val="000000"/>
                <w:szCs w:val="21"/>
              </w:rPr>
              <w:t>与顾客有关的过程控制程序</w:t>
            </w:r>
            <w:r>
              <w:rPr>
                <w:rFonts w:hint="eastAsia" w:ascii="宋体" w:hAnsi="宋体"/>
                <w:sz w:val="21"/>
                <w:szCs w:val="21"/>
                <w:lang w:val="en-US" w:eastAsia="zh-CN"/>
              </w:rPr>
              <w:t>》、《</w:t>
            </w:r>
            <w:r>
              <w:rPr>
                <w:rFonts w:hint="eastAsia" w:ascii="宋体" w:hAnsi="宋体"/>
                <w:color w:val="000000"/>
                <w:szCs w:val="21"/>
              </w:rPr>
              <w:t>服务过程控制程序</w:t>
            </w:r>
            <w:r>
              <w:rPr>
                <w:rFonts w:hint="eastAsia" w:ascii="宋体" w:hAnsi="宋体"/>
                <w:sz w:val="21"/>
                <w:szCs w:val="21"/>
                <w:lang w:val="en-US" w:eastAsia="zh-CN"/>
              </w:rPr>
              <w:t>》、《</w:t>
            </w:r>
            <w:r>
              <w:rPr>
                <w:rFonts w:hint="eastAsia" w:ascii="宋体" w:hAnsi="宋体"/>
                <w:color w:val="000000"/>
                <w:spacing w:val="4"/>
                <w:szCs w:val="21"/>
              </w:rPr>
              <w:t>顾客满</w:t>
            </w:r>
            <w:r>
              <w:rPr>
                <w:rFonts w:hint="eastAsia" w:ascii="宋体" w:hAnsi="宋体"/>
                <w:color w:val="000000"/>
                <w:spacing w:val="4"/>
                <w:szCs w:val="21"/>
                <w:lang w:eastAsia="zh-CN"/>
              </w:rPr>
              <w:t>度的监视和测量控制</w:t>
            </w:r>
            <w:r>
              <w:rPr>
                <w:rFonts w:hint="eastAsia" w:ascii="宋体" w:hAnsi="宋体"/>
                <w:color w:val="000000"/>
                <w:spacing w:val="4"/>
                <w:szCs w:val="21"/>
              </w:rPr>
              <w:t>程序</w:t>
            </w:r>
            <w:r>
              <w:rPr>
                <w:rFonts w:hint="eastAsia" w:ascii="宋体" w:hAnsi="宋体"/>
                <w:color w:val="000000"/>
                <w:spacing w:val="4"/>
                <w:szCs w:val="21"/>
                <w:lang w:eastAsia="zh-CN"/>
              </w:rPr>
              <w:t>》</w:t>
            </w:r>
            <w:r>
              <w:rPr>
                <w:rFonts w:hint="eastAsia"/>
                <w:sz w:val="21"/>
                <w:szCs w:val="21"/>
                <w:lang w:val="en-US" w:eastAsia="zh-CN"/>
              </w:rPr>
              <w:t>，由项目负责人组织人员、物资等资源进行销售服务，</w:t>
            </w:r>
            <w:r>
              <w:rPr>
                <w:rFonts w:hint="eastAsia" w:ascii="宋体" w:hAnsi="宋体"/>
                <w:sz w:val="21"/>
                <w:szCs w:val="21"/>
                <w:lang w:val="en-US" w:eastAsia="zh-CN"/>
              </w:rPr>
              <w:t>行跟踪</w:t>
            </w:r>
            <w:r>
              <w:rPr>
                <w:rFonts w:hint="eastAsia" w:ascii="宋体" w:hAnsi="宋体"/>
                <w:sz w:val="21"/>
                <w:szCs w:val="21"/>
              </w:rPr>
              <w:t>，</w:t>
            </w:r>
            <w:r>
              <w:rPr>
                <w:rFonts w:hint="eastAsia" w:ascii="宋体" w:hAnsi="宋体"/>
                <w:sz w:val="21"/>
                <w:szCs w:val="21"/>
                <w:lang w:val="en-US" w:eastAsia="zh-CN"/>
              </w:rPr>
              <w:t>评审服务的完成情况、服务</w:t>
            </w:r>
            <w:r>
              <w:rPr>
                <w:rFonts w:hint="eastAsia" w:ascii="宋体" w:hAnsi="宋体"/>
                <w:sz w:val="21"/>
                <w:szCs w:val="21"/>
              </w:rPr>
              <w:t>质量等</w:t>
            </w:r>
            <w:r>
              <w:rPr>
                <w:rFonts w:hint="eastAsia"/>
                <w:sz w:val="21"/>
                <w:szCs w:val="21"/>
              </w:rPr>
              <w:t>，目前生产和服务过程控制情况较好。</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4.</w:t>
            </w:r>
            <w:r>
              <w:rPr>
                <w:rFonts w:hint="eastAsia"/>
                <w:sz w:val="21"/>
                <w:szCs w:val="21"/>
                <w:lang w:val="en-US" w:eastAsia="zh-CN"/>
              </w:rPr>
              <w:t>产品和服务的放行</w:t>
            </w:r>
            <w:r>
              <w:rPr>
                <w:rFonts w:hint="eastAsia"/>
                <w:sz w:val="21"/>
                <w:szCs w:val="21"/>
              </w:rPr>
              <w:t>：</w:t>
            </w:r>
            <w:r>
              <w:rPr>
                <w:rFonts w:hint="eastAsia"/>
                <w:sz w:val="21"/>
                <w:szCs w:val="21"/>
                <w:lang w:val="en-US" w:eastAsia="zh-CN"/>
              </w:rPr>
              <w:t>根据顾客要求进行服务，提供服务后由顾客确认，并部门主管对服务质量进行检查</w:t>
            </w:r>
            <w:r>
              <w:rPr>
                <w:rFonts w:hint="eastAsia" w:ascii="宋体" w:cs="宋体"/>
                <w:sz w:val="21"/>
                <w:szCs w:val="21"/>
              </w:rPr>
              <w:t>。</w:t>
            </w:r>
            <w:r>
              <w:rPr>
                <w:rFonts w:hint="eastAsia"/>
                <w:sz w:val="21"/>
                <w:szCs w:val="21"/>
              </w:rPr>
              <w:t>收集顾客的反馈信息，开展顾客满意度调查，包括顾客抱怨和投诉，体系建立以来未发生顾客投诉事件。</w:t>
            </w:r>
          </w:p>
          <w:p>
            <w:pPr>
              <w:spacing w:line="240" w:lineRule="exact"/>
              <w:rPr>
                <w:b/>
                <w:color w:val="000000" w:themeColor="text1"/>
                <w:sz w:val="20"/>
                <w:szCs w:val="20"/>
              </w:rPr>
            </w:pPr>
            <w:r>
              <w:rPr>
                <w:rFonts w:hint="eastAsia"/>
                <w:sz w:val="21"/>
                <w:szCs w:val="21"/>
              </w:rPr>
              <w:t>5.变更的控制：</w:t>
            </w:r>
            <w:r>
              <w:rPr>
                <w:rFonts w:hint="eastAsia"/>
                <w:sz w:val="21"/>
                <w:szCs w:val="21"/>
                <w:lang w:val="en-US" w:eastAsia="zh-CN"/>
              </w:rPr>
              <w:t>销售</w:t>
            </w:r>
            <w:r>
              <w:rPr>
                <w:rFonts w:hint="eastAsia"/>
                <w:sz w:val="21"/>
                <w:szCs w:val="21"/>
              </w:rPr>
              <w:t>合同</w:t>
            </w:r>
            <w:r>
              <w:rPr>
                <w:rFonts w:hint="eastAsia"/>
                <w:sz w:val="21"/>
                <w:szCs w:val="21"/>
                <w:lang w:val="en-US" w:eastAsia="zh-CN"/>
              </w:rPr>
              <w:t>/协议</w:t>
            </w:r>
            <w:r>
              <w:rPr>
                <w:rFonts w:hint="eastAsia"/>
                <w:sz w:val="21"/>
                <w:szCs w:val="21"/>
              </w:rPr>
              <w:t>评审后，按合同要求进行</w:t>
            </w:r>
            <w:r>
              <w:rPr>
                <w:rFonts w:hint="eastAsia"/>
                <w:sz w:val="21"/>
                <w:szCs w:val="21"/>
                <w:lang w:val="en-US" w:eastAsia="zh-CN"/>
              </w:rPr>
              <w:t>采购、配送</w:t>
            </w:r>
            <w:r>
              <w:rPr>
                <w:rFonts w:hint="eastAsia"/>
                <w:sz w:val="21"/>
                <w:szCs w:val="21"/>
              </w:rPr>
              <w:t>并交付，如发现标的物与顾客要求不一致的，与客户商量，重新签订合同，交货期延期的，与顾客商量，得到顾客确认后，再及时</w:t>
            </w:r>
            <w:r>
              <w:rPr>
                <w:rFonts w:hint="eastAsia"/>
                <w:sz w:val="21"/>
                <w:szCs w:val="21"/>
                <w:lang w:val="en-US" w:eastAsia="zh-CN"/>
              </w:rPr>
              <w:t>调整</w:t>
            </w:r>
            <w:r>
              <w:rPr>
                <w:rFonts w:hint="eastAsia"/>
                <w:sz w:val="21"/>
                <w:szCs w:val="21"/>
              </w:rPr>
              <w:t>，并对延期的原因进行分析，避免下次再发生，经了解，目前没有发生对生产和服务提供的更改的情况</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lang w:val="en-US" w:eastAsia="zh-CN"/>
              </w:rPr>
              <w:t>主要满足客户要求，目前向顾客提供的服务均符合要求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r>
              <w:rPr>
                <w:rFonts w:hint="eastAsia"/>
                <w:b/>
                <w:color w:val="000000" w:themeColor="text1"/>
                <w:sz w:val="20"/>
                <w:szCs w:val="20"/>
                <w:lang w:val="en-US" w:eastAsia="zh-CN"/>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sz w:val="21"/>
                <w:szCs w:val="21"/>
              </w:rPr>
              <w:t>对于采购产品出现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5" w:firstLineChars="50"/>
              <w:rPr>
                <w:b/>
                <w:color w:val="000000" w:themeColor="text1"/>
                <w:sz w:val="20"/>
                <w:szCs w:val="20"/>
              </w:rPr>
            </w:pPr>
            <w:r>
              <w:rPr>
                <w:rFonts w:hint="eastAsia"/>
                <w:sz w:val="21"/>
                <w:szCs w:val="21"/>
              </w:rPr>
              <w:t>提供了文件化可分解的目标、指标，经查问分解到各部门，经查阅建立的管理目标符合标准要求，在方针的框架下展开，查看20</w:t>
            </w:r>
            <w:r>
              <w:rPr>
                <w:rFonts w:hint="eastAsia"/>
                <w:sz w:val="21"/>
                <w:szCs w:val="21"/>
                <w:lang w:val="en-US" w:eastAsia="zh-CN"/>
              </w:rPr>
              <w:t>20</w:t>
            </w:r>
            <w:r>
              <w:rPr>
                <w:rFonts w:hint="eastAsia"/>
                <w:sz w:val="21"/>
                <w:szCs w:val="21"/>
              </w:rPr>
              <w:t>年</w:t>
            </w:r>
            <w:r>
              <w:rPr>
                <w:rFonts w:hint="eastAsia"/>
                <w:sz w:val="21"/>
                <w:szCs w:val="21"/>
                <w:lang w:val="en-US" w:eastAsia="zh-CN"/>
              </w:rPr>
              <w:t>下半年</w:t>
            </w:r>
            <w:r>
              <w:rPr>
                <w:rFonts w:hint="eastAsia"/>
                <w:sz w:val="21"/>
                <w:szCs w:val="21"/>
              </w:rPr>
              <w:t>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r>
              <w:rPr>
                <w:rFonts w:hint="eastAsia" w:ascii="Times New Roman" w:hAnsi="Times New Roman" w:cs="Times New Roman"/>
                <w:sz w:val="21"/>
                <w:szCs w:val="21"/>
                <w:lang w:val="zh-CN"/>
              </w:rPr>
              <w:t>公司通过电话</w:t>
            </w:r>
            <w:r>
              <w:rPr>
                <w:rFonts w:hint="eastAsia" w:cs="Times New Roman"/>
                <w:sz w:val="21"/>
                <w:szCs w:val="21"/>
                <w:lang w:val="zh-CN"/>
              </w:rPr>
              <w:t>、</w:t>
            </w:r>
            <w:r>
              <w:rPr>
                <w:rFonts w:hint="eastAsia" w:cs="Times New Roman"/>
                <w:sz w:val="21"/>
                <w:szCs w:val="21"/>
                <w:lang w:val="en-US" w:eastAsia="zh-CN"/>
              </w:rPr>
              <w:t>网络、</w:t>
            </w:r>
            <w:r>
              <w:rPr>
                <w:rFonts w:hint="eastAsia" w:ascii="Times New Roman" w:hAnsi="Times New Roman" w:cs="Times New Roman"/>
                <w:sz w:val="21"/>
                <w:szCs w:val="21"/>
                <w:lang w:val="zh-CN"/>
              </w:rPr>
              <w:t>走访等形式，接受顾客反馈，了解顾客满意度信息，发放调查表对顾客满意度进行定量测量。提供“顾客满意程度调查表”，调查主要内容：</w:t>
            </w:r>
            <w:r>
              <w:rPr>
                <w:rFonts w:hint="eastAsia" w:cs="宋体"/>
                <w:lang w:val="en-US" w:eastAsia="zh-CN"/>
              </w:rPr>
              <w:t>质量、价格、交货期、服务</w:t>
            </w:r>
            <w:r>
              <w:rPr>
                <w:rFonts w:hint="eastAsia" w:ascii="Times New Roman" w:hAnsi="Times New Roman" w:cs="Times New Roman"/>
                <w:sz w:val="21"/>
                <w:szCs w:val="21"/>
              </w:rPr>
              <w:t>等方面的满意程度</w:t>
            </w:r>
            <w:r>
              <w:rPr>
                <w:rFonts w:hint="eastAsia" w:ascii="Times New Roman" w:hAnsi="Times New Roman" w:cs="Times New Roman"/>
                <w:sz w:val="21"/>
                <w:szCs w:val="21"/>
                <w:lang w:val="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sz w:val="21"/>
                <w:szCs w:val="21"/>
              </w:rPr>
              <w:t>按照策划的安排于</w:t>
            </w:r>
            <w:r>
              <w:t>20</w:t>
            </w:r>
            <w:r>
              <w:rPr>
                <w:rFonts w:hint="eastAsia"/>
                <w:lang w:val="en-US" w:eastAsia="zh-CN"/>
              </w:rPr>
              <w:t>20年12月15日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sz w:val="21"/>
                <w:szCs w:val="21"/>
              </w:rPr>
              <w:t>按照策划的安排于</w:t>
            </w:r>
            <w:r>
              <w:t>20</w:t>
            </w:r>
            <w:r>
              <w:rPr>
                <w:rFonts w:hint="eastAsia"/>
                <w:lang w:val="en-US" w:eastAsia="zh-CN"/>
              </w:rPr>
              <w:t>20</w:t>
            </w:r>
            <w:r>
              <w:rPr>
                <w:rFonts w:hint="eastAsia" w:cs="宋体"/>
              </w:rPr>
              <w:t>年</w:t>
            </w:r>
            <w:r>
              <w:rPr>
                <w:rFonts w:hint="eastAsia" w:cs="宋体"/>
                <w:lang w:val="en-US" w:eastAsia="zh-CN"/>
              </w:rPr>
              <w:t>12</w:t>
            </w:r>
            <w:r>
              <w:rPr>
                <w:rFonts w:hint="eastAsia" w:cs="宋体"/>
              </w:rPr>
              <w:t>月</w:t>
            </w:r>
            <w:r>
              <w:rPr>
                <w:rFonts w:hint="eastAsia" w:cs="宋体"/>
                <w:lang w:val="en-US" w:eastAsia="zh-CN"/>
              </w:rPr>
              <w:t>20</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3"/>
              </w:numPr>
              <w:spacing w:line="240" w:lineRule="exact"/>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numPr>
                <w:ilvl w:val="0"/>
                <w:numId w:val="0"/>
              </w:num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w:t>
            </w:r>
            <w:r>
              <w:rPr>
                <w:rFonts w:hint="eastAsia"/>
                <w:sz w:val="21"/>
                <w:szCs w:val="21"/>
                <w:lang w:val="en-US" w:eastAsia="zh-CN"/>
              </w:rPr>
              <w:t>已</w:t>
            </w:r>
            <w:r>
              <w:rPr>
                <w:rFonts w:hint="eastAsia"/>
                <w:sz w:val="21"/>
                <w:szCs w:val="21"/>
              </w:rPr>
              <w:t>实施</w:t>
            </w:r>
            <w:r>
              <w:rPr>
                <w:rFonts w:hint="eastAsia"/>
                <w:sz w:val="21"/>
                <w:szCs w:val="21"/>
                <w:lang w:val="en-US" w:eastAsia="zh-CN"/>
              </w:rPr>
              <w:t>完成</w:t>
            </w:r>
            <w:r>
              <w:rPr>
                <w:rFonts w:hint="eastAsia"/>
                <w:sz w:val="21"/>
                <w:szCs w:val="21"/>
              </w:rPr>
              <w:t>。</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一阶段未发现不符合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4"/>
              </w:numPr>
              <w:spacing w:line="240" w:lineRule="exact"/>
              <w:rPr>
                <w:rFonts w:hint="eastAsia"/>
                <w:b/>
                <w:color w:val="000000" w:themeColor="text1"/>
                <w:sz w:val="20"/>
                <w:szCs w:val="20"/>
              </w:rPr>
            </w:pPr>
            <w:r>
              <w:rPr>
                <w:rFonts w:hint="eastAsia"/>
                <w:b/>
                <w:color w:val="000000" w:themeColor="text1"/>
                <w:sz w:val="20"/>
                <w:szCs w:val="20"/>
              </w:rPr>
              <w:t>创新情况</w:t>
            </w:r>
          </w:p>
          <w:p>
            <w:pPr>
              <w:numPr>
                <w:ilvl w:val="0"/>
                <w:numId w:val="0"/>
              </w:num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综合部</w:t>
      </w:r>
      <w:r>
        <w:rPr>
          <w:rFonts w:hint="eastAsia"/>
          <w:b/>
          <w:color w:val="000000" w:themeColor="text1"/>
        </w:rPr>
        <w:t>部门</w:t>
      </w:r>
      <w:r>
        <w:rPr>
          <w:rFonts w:hint="eastAsia" w:ascii="宋体" w:hAnsi="宋体"/>
          <w:b/>
          <w:sz w:val="22"/>
          <w:szCs w:val="22"/>
        </w:rPr>
        <w:t>GB/T 19001:2016 idt ISO 9001:2015标准</w:t>
      </w:r>
      <w:r>
        <w:rPr>
          <w:rFonts w:hint="eastAsia" w:ascii="宋体" w:hAnsi="宋体"/>
          <w:b/>
          <w:sz w:val="22"/>
          <w:szCs w:val="22"/>
          <w:lang w:val="en-US" w:eastAsia="zh-CN"/>
        </w:rPr>
        <w:t>7.3</w:t>
      </w:r>
      <w:r>
        <w:rPr>
          <w:rFonts w:hint="eastAsia" w:ascii="宋体" w:hAnsi="宋体"/>
          <w:b/>
          <w:sz w:val="22"/>
          <w:szCs w:val="22"/>
        </w:rPr>
        <w:t xml:space="preserve">条款 </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ascii="宋体" w:hAnsi="宋体"/>
                <w:b w:val="0"/>
                <w:bCs/>
                <w:color w:val="000000" w:themeColor="text1"/>
                <w:sz w:val="20"/>
                <w:szCs w:val="20"/>
                <w:u w:val="single"/>
              </w:rPr>
              <w:t>北京德克鲁兹机器人销售有限公司</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rPr>
          <w:b/>
          <w:bCs/>
          <w:color w:val="000000" w:themeColor="text1"/>
          <w:szCs w:val="28"/>
          <w:u w:val="single"/>
        </w:rPr>
      </w:pPr>
    </w:p>
    <w:p>
      <w:pPr>
        <w:snapToGrid w:val="0"/>
        <w:spacing w:after="156" w:afterLines="50" w:line="360" w:lineRule="auto"/>
        <w:ind w:left="-163" w:leftChars="-405" w:hanging="687" w:hangingChars="326"/>
        <w:rPr>
          <w:b/>
          <w:color w:val="000000" w:themeColor="text1"/>
          <w:sz w:val="16"/>
          <w:szCs w:val="16"/>
        </w:rPr>
      </w:pPr>
      <w:r>
        <w:rPr>
          <w:rFonts w:hint="eastAsia" w:eastAsia="宋体"/>
          <w:b/>
          <w:color w:val="000000" w:themeColor="text1"/>
          <w:lang w:eastAsia="zh-CN"/>
        </w:rPr>
        <w:drawing>
          <wp:anchor distT="0" distB="0" distL="114300" distR="114300" simplePos="0" relativeHeight="251661312" behindDoc="0" locked="0" layoutInCell="1" allowOverlap="1">
            <wp:simplePos x="0" y="0"/>
            <wp:positionH relativeFrom="column">
              <wp:posOffset>1524000</wp:posOffset>
            </wp:positionH>
            <wp:positionV relativeFrom="paragraph">
              <wp:posOffset>374650</wp:posOffset>
            </wp:positionV>
            <wp:extent cx="716280" cy="380365"/>
            <wp:effectExtent l="0" t="0" r="0" b="635"/>
            <wp:wrapNone/>
            <wp:docPr id="3" name="图片 3" descr="李蒙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蒙生"/>
                    <pic:cNvPicPr>
                      <a:picLocks noChangeAspect="1"/>
                    </pic:cNvPicPr>
                  </pic:nvPicPr>
                  <pic:blipFill>
                    <a:blip r:embed="rId6"/>
                    <a:stretch>
                      <a:fillRect/>
                    </a:stretch>
                  </pic:blipFill>
                  <pic:spPr>
                    <a:xfrm>
                      <a:off x="0" y="0"/>
                      <a:ext cx="716280" cy="380365"/>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lang w:eastAsia="zh-CN"/>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15</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QMS(</w:t>
      </w:r>
      <w:r>
        <w:rPr>
          <w:rFonts w:hint="eastAsia"/>
          <w:b/>
          <w:color w:val="000000" w:themeColor="text1"/>
          <w:szCs w:val="21"/>
          <w:lang w:val="en-US" w:eastAsia="zh-CN"/>
        </w:rPr>
        <w:t>1</w:t>
      </w:r>
      <w:r>
        <w:rPr>
          <w:rFonts w:hint="eastAsia"/>
          <w:b/>
          <w:color w:val="000000" w:themeColor="text1"/>
          <w:szCs w:val="21"/>
        </w:rPr>
        <w:t>)个一般不符合，(</w:t>
      </w:r>
      <w:r>
        <w:rPr>
          <w:rFonts w:hint="eastAsia"/>
          <w:b/>
          <w:color w:val="000000" w:themeColor="text1"/>
          <w:szCs w:val="21"/>
          <w:lang w:val="en-US" w:eastAsia="zh-CN"/>
        </w:rPr>
        <w:t>0</w:t>
      </w:r>
      <w:r>
        <w:rPr>
          <w:rFonts w:hint="eastAsia"/>
          <w:b/>
          <w:color w:val="000000" w:themeColor="text1"/>
          <w:szCs w:val="21"/>
        </w:rPr>
        <w:t>)个严重不符合，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b/>
          <w:color w:val="000000" w:themeColor="text1"/>
          <w:lang w:eastAsia="zh-CN"/>
        </w:rPr>
        <w:drawing>
          <wp:anchor distT="0" distB="0" distL="114300" distR="114300" simplePos="0" relativeHeight="251665408" behindDoc="0" locked="0" layoutInCell="1" allowOverlap="1">
            <wp:simplePos x="0" y="0"/>
            <wp:positionH relativeFrom="column">
              <wp:posOffset>754380</wp:posOffset>
            </wp:positionH>
            <wp:positionV relativeFrom="paragraph">
              <wp:posOffset>93345</wp:posOffset>
            </wp:positionV>
            <wp:extent cx="716280" cy="380365"/>
            <wp:effectExtent l="0" t="0" r="0" b="635"/>
            <wp:wrapNone/>
            <wp:docPr id="4" name="图片 4" descr="李蒙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李蒙生"/>
                    <pic:cNvPicPr>
                      <a:picLocks noChangeAspect="1"/>
                    </pic:cNvPicPr>
                  </pic:nvPicPr>
                  <pic:blipFill>
                    <a:blip r:embed="rId6"/>
                    <a:stretch>
                      <a:fillRect/>
                    </a:stretch>
                  </pic:blipFill>
                  <pic:spPr>
                    <a:xfrm>
                      <a:off x="0" y="0"/>
                      <a:ext cx="716280" cy="380365"/>
                    </a:xfrm>
                    <a:prstGeom prst="rect">
                      <a:avLst/>
                    </a:prstGeom>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3</w:t>
      </w:r>
      <w:r>
        <w:rPr>
          <w:rFonts w:hint="eastAsia"/>
          <w:b/>
          <w:color w:val="000000" w:themeColor="text1"/>
          <w:szCs w:val="21"/>
        </w:rPr>
        <w:t>月</w:t>
      </w:r>
      <w:r>
        <w:rPr>
          <w:rFonts w:hint="eastAsia"/>
          <w:b/>
          <w:color w:val="000000" w:themeColor="text1"/>
          <w:szCs w:val="21"/>
          <w:lang w:val="en-US" w:eastAsia="zh-CN"/>
        </w:rPr>
        <w:t>15</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bookmarkStart w:id="22" w:name="_GoBack"/>
      <w:bookmarkEnd w:id="22"/>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1"/>
  </w:p>
  <w:p>
    <w:pPr>
      <w:pStyle w:val="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306531"/>
    <w:multiLevelType w:val="singleLevel"/>
    <w:tmpl w:val="CB306531"/>
    <w:lvl w:ilvl="0" w:tentative="0">
      <w:start w:val="5"/>
      <w:numFmt w:val="decimal"/>
      <w:suff w:val="space"/>
      <w:lvlText w:val="%1."/>
      <w:lvlJc w:val="left"/>
    </w:lvl>
  </w:abstractNum>
  <w:abstractNum w:abstractNumId="1">
    <w:nsid w:val="11936CB1"/>
    <w:multiLevelType w:val="singleLevel"/>
    <w:tmpl w:val="11936CB1"/>
    <w:lvl w:ilvl="0" w:tentative="0">
      <w:start w:val="4"/>
      <w:numFmt w:val="decimal"/>
      <w:lvlText w:val="%1."/>
      <w:lvlJc w:val="left"/>
      <w:pPr>
        <w:tabs>
          <w:tab w:val="left" w:pos="312"/>
        </w:tabs>
      </w:p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9C9527C"/>
    <w:rsid w:val="631C67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3"/>
    <w:semiHidden/>
    <w:unhideWhenUsed/>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2"/>
    <w:qFormat/>
    <w:uiPriority w:val="99"/>
    <w:rPr>
      <w:rFonts w:ascii="Times New Roman" w:hAnsi="Times New Roman" w:eastAsia="宋体" w:cs="Times New Roman"/>
      <w:sz w:val="18"/>
      <w:szCs w:val="18"/>
    </w:rPr>
  </w:style>
  <w:style w:type="character" w:customStyle="1" w:styleId="12">
    <w:name w:val="页脚 Char"/>
    <w:basedOn w:val="8"/>
    <w:link w:val="4"/>
    <w:qFormat/>
    <w:uiPriority w:val="99"/>
    <w:rPr>
      <w:rFonts w:ascii="Times New Roman" w:hAnsi="Times New Roman" w:eastAsia="宋体" w:cs="Times New Roman"/>
      <w:sz w:val="18"/>
      <w:szCs w:val="18"/>
    </w:rPr>
  </w:style>
  <w:style w:type="character" w:customStyle="1" w:styleId="13">
    <w:name w:val="批注框文本 Char"/>
    <w:basedOn w:val="8"/>
    <w:link w:val="3"/>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表格文字"/>
    <w:basedOn w:val="1"/>
    <w:qFormat/>
    <w:uiPriority w:val="0"/>
    <w:pPr>
      <w:spacing w:before="25" w:after="25"/>
    </w:pPr>
    <w:rPr>
      <w:bCs/>
      <w:spacing w:val="10"/>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TotalTime>
  <ScaleCrop>false</ScaleCrop>
  <LinksUpToDate>false</LinksUpToDate>
  <CharactersWithSpaces>5057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李蒙生</cp:lastModifiedBy>
  <cp:lastPrinted>2019-05-13T03:19:00Z</cp:lastPrinted>
  <dcterms:modified xsi:type="dcterms:W3CDTF">2021-03-17T01:50:54Z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269285471_btnclosed</vt:lpwstr>
  </property>
</Properties>
</file>