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rFonts w:hint="eastAsia" w:eastAsia="宋体"/>
          <w:b/>
          <w:lang w:val="en-US" w:eastAsia="zh-CN"/>
        </w:rPr>
      </w:pPr>
      <w:r>
        <w:rPr>
          <w:rFonts w:hint="eastAsia"/>
          <w:b/>
          <w:lang w:val="en-US" w:eastAsia="zh-CN"/>
        </w:rPr>
        <w:t>编号：</w:t>
      </w:r>
      <w:bookmarkStart w:id="0" w:name="合同编号"/>
      <w:r>
        <w:rPr>
          <w:rFonts w:hint="eastAsia" w:ascii="宋体" w:hAnsi="宋体"/>
          <w:b/>
          <w:bCs/>
          <w:kern w:val="0"/>
          <w:szCs w:val="21"/>
          <w:u w:val="single"/>
        </w:rPr>
        <w:t>0212-2018-E-2021</w:t>
      </w:r>
      <w:bookmarkEnd w:id="0"/>
      <w:r>
        <w:rPr>
          <w:rFonts w:hint="eastAsia" w:ascii="宋体" w:hAnsi="宋体"/>
          <w:b/>
          <w:bCs/>
          <w:kern w:val="0"/>
          <w:szCs w:val="21"/>
          <w:u w:val="singl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成都坤恒顺维科技股份有限公司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2018-N1EMS-1230067</w:t>
            </w:r>
          </w:p>
        </w:tc>
        <w:tc>
          <w:tcPr>
            <w:tcW w:w="1728" w:type="dxa"/>
            <w:gridSpan w:val="2"/>
            <w:vAlign w:val="center"/>
          </w:tcPr>
          <w:p>
            <w:pPr>
              <w:jc w:val="center"/>
              <w:rPr>
                <w:b/>
                <w:sz w:val="21"/>
                <w:szCs w:val="21"/>
              </w:rPr>
            </w:pPr>
            <w:r>
              <w:rPr>
                <w:b/>
                <w:sz w:val="21"/>
                <w:szCs w:val="21"/>
              </w:rPr>
              <w:t>29.12.00,34.05.00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eastAsia="宋体"/>
          <w:b/>
          <w:sz w:val="21"/>
          <w:szCs w:val="21"/>
          <w:lang w:val="en-US" w:eastAsia="zh-CN"/>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补充</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2" w:name="组织名称Add"/>
            <w:r>
              <w:rPr>
                <w:rFonts w:ascii="宋体" w:hAnsi="Times New Roman" w:cs="Times New Roman"/>
                <w:b/>
                <w:sz w:val="21"/>
                <w:szCs w:val="22"/>
              </w:rPr>
              <w:t>成都坤恒顺维科技股份有限公司</w:t>
            </w:r>
            <w:bookmarkEnd w:id="12"/>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79人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3" w:name="注册地址"/>
            <w:r>
              <w:rPr>
                <w:rFonts w:ascii="宋体"/>
                <w:b/>
                <w:sz w:val="21"/>
              </w:rPr>
              <w:t>成都高新区新文路22号6栋1层4号</w:t>
            </w:r>
            <w:bookmarkEnd w:id="1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4" w:name="注册邮编"/>
            <w:r>
              <w:rPr>
                <w:rFonts w:ascii="宋体"/>
                <w:b/>
                <w:sz w:val="21"/>
              </w:rPr>
              <w:t>600000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5" w:name="办公地址"/>
            <w:r>
              <w:rPr>
                <w:rFonts w:ascii="宋体"/>
                <w:b/>
                <w:sz w:val="21"/>
              </w:rPr>
              <w:t>成都高新区新文路22号融智总部公园3楼、2楼</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办公邮编"/>
            <w:r>
              <w:rPr>
                <w:rFonts w:ascii="宋体"/>
                <w:b/>
                <w:sz w:val="21"/>
              </w:rPr>
              <w:t>600000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7" w:name="生产地址Add"/>
            <w:r>
              <w:rPr>
                <w:rFonts w:ascii="宋体"/>
                <w:b/>
                <w:sz w:val="21"/>
              </w:rPr>
              <w:t>成都高新区新文路22号融智总部公园3楼、2楼</w:t>
            </w:r>
            <w:bookmarkEnd w:id="17"/>
          </w:p>
        </w:tc>
        <w:tc>
          <w:tcPr>
            <w:tcW w:w="1672" w:type="dxa"/>
            <w:vMerge w:val="continue"/>
            <w:vAlign w:val="center"/>
          </w:tcPr>
          <w:p>
            <w:pPr>
              <w:jc w:val="center"/>
              <w:rPr>
                <w:rFonts w:ascii="宋体"/>
                <w:b/>
                <w:sz w:val="21"/>
              </w:rPr>
            </w:pPr>
          </w:p>
        </w:tc>
        <w:tc>
          <w:tcPr>
            <w:tcW w:w="1500" w:type="dxa"/>
          </w:tcPr>
          <w:p>
            <w:pPr>
              <w:rPr>
                <w:rFonts w:ascii="宋体"/>
                <w:b/>
                <w:sz w:val="21"/>
              </w:rPr>
            </w:pPr>
            <w:bookmarkStart w:id="18" w:name="生产邮编"/>
            <w:r>
              <w:rPr>
                <w:rFonts w:ascii="宋体"/>
                <w:b/>
                <w:sz w:val="21"/>
              </w:rPr>
              <w:t>600000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谭向兵</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18108194368</w:t>
            </w:r>
            <w:bookmarkEnd w:id="20"/>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张吉林</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张吉林</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3" w:name="管理者代表"/>
            <w:r>
              <w:rPr>
                <w:rFonts w:ascii="宋体"/>
                <w:b/>
                <w:sz w:val="21"/>
              </w:rPr>
              <w:t>谭向兵</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2021年0</w:t>
            </w:r>
            <w:r>
              <w:rPr>
                <w:rFonts w:hint="eastAsia" w:ascii="宋体" w:hAnsi="宋体"/>
                <w:b/>
                <w:sz w:val="21"/>
                <w:szCs w:val="21"/>
                <w:lang w:val="en-US" w:eastAsia="zh-CN"/>
              </w:rPr>
              <w:t>3</w:t>
            </w:r>
            <w:r>
              <w:rPr>
                <w:rFonts w:ascii="宋体" w:hAnsi="宋体"/>
                <w:b/>
                <w:sz w:val="21"/>
                <w:szCs w:val="21"/>
              </w:rPr>
              <w:t>月</w:t>
            </w:r>
            <w:r>
              <w:rPr>
                <w:rFonts w:hint="eastAsia" w:ascii="宋体" w:hAnsi="宋体"/>
                <w:b/>
                <w:sz w:val="21"/>
                <w:szCs w:val="21"/>
                <w:lang w:val="en-US" w:eastAsia="zh-CN"/>
              </w:rPr>
              <w:t>11</w:t>
            </w:r>
            <w:r>
              <w:rPr>
                <w:rFonts w:ascii="宋体" w:hAnsi="宋体"/>
                <w:b/>
                <w:sz w:val="21"/>
                <w:szCs w:val="21"/>
              </w:rPr>
              <w:t xml:space="preserve">日 </w:t>
            </w:r>
            <w:r>
              <w:rPr>
                <w:rFonts w:hint="eastAsia" w:ascii="宋体" w:hAnsi="宋体"/>
                <w:b/>
                <w:sz w:val="21"/>
                <w:szCs w:val="21"/>
                <w:lang w:val="en-US" w:eastAsia="zh-CN"/>
              </w:rPr>
              <w:t>下</w:t>
            </w:r>
            <w:r>
              <w:rPr>
                <w:rFonts w:ascii="宋体" w:hAnsi="宋体"/>
                <w:b/>
                <w:sz w:val="21"/>
                <w:szCs w:val="21"/>
              </w:rPr>
              <w:t>午至2021年0</w:t>
            </w:r>
            <w:r>
              <w:rPr>
                <w:rFonts w:hint="eastAsia" w:ascii="宋体" w:hAnsi="宋体"/>
                <w:b/>
                <w:sz w:val="21"/>
                <w:szCs w:val="21"/>
                <w:lang w:val="en-US" w:eastAsia="zh-CN"/>
              </w:rPr>
              <w:t>3</w:t>
            </w:r>
            <w:r>
              <w:rPr>
                <w:rFonts w:ascii="宋体" w:hAnsi="宋体"/>
                <w:b/>
                <w:sz w:val="21"/>
                <w:szCs w:val="21"/>
              </w:rPr>
              <w:t>月</w:t>
            </w:r>
            <w:r>
              <w:rPr>
                <w:rFonts w:hint="eastAsia" w:ascii="宋体" w:hAnsi="宋体"/>
                <w:b/>
                <w:sz w:val="21"/>
                <w:szCs w:val="21"/>
                <w:lang w:val="en-US" w:eastAsia="zh-CN"/>
              </w:rPr>
              <w:t>11</w:t>
            </w:r>
            <w:r>
              <w:rPr>
                <w:rFonts w:ascii="宋体" w:hAnsi="宋体"/>
                <w:b/>
                <w:sz w:val="21"/>
                <w:szCs w:val="21"/>
              </w:rPr>
              <w:t>日 下午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QJ勾选Add1"/>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hint="eastAsia" w:ascii="宋体" w:hAnsi="宋体" w:eastAsia="宋体"/>
                <w:b/>
                <w:sz w:val="21"/>
                <w:szCs w:val="21"/>
                <w:lang w:eastAsia="zh-CN"/>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bookmarkStart w:id="28" w:name="审核范围"/>
            <w:r>
              <w:rPr>
                <w:sz w:val="20"/>
              </w:rPr>
              <w:t>无线电测试设备、无线电仿真设备及无线信号处理设备的设计、销售所涉及的相关环境管理活动</w:t>
            </w:r>
            <w:bookmarkEnd w:id="28"/>
            <w:r>
              <w:rPr>
                <w:rFonts w:hint="eastAsia"/>
                <w:sz w:val="20"/>
                <w:lang w:eastAsia="zh-CN"/>
              </w:rPr>
              <w:t>。</w:t>
            </w:r>
          </w:p>
          <w:p>
            <w:pPr>
              <w:spacing w:line="360" w:lineRule="exact"/>
              <w:rPr>
                <w:rFonts w:ascii="宋体" w:hAnsi="宋体"/>
                <w:b/>
                <w:sz w:val="21"/>
                <w:szCs w:val="21"/>
              </w:rPr>
            </w:pPr>
            <w:bookmarkStart w:id="29" w:name="S勾选Add2"/>
            <w:r>
              <w:rPr>
                <w:rFonts w:hint="eastAsia" w:ascii="宋体" w:hAnsi="宋体"/>
                <w:b/>
                <w:sz w:val="21"/>
                <w:szCs w:val="21"/>
              </w:rPr>
              <w:t>□</w:t>
            </w:r>
            <w:bookmarkEnd w:id="29"/>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numPr>
                <w:ilvl w:val="0"/>
                <w:numId w:val="0"/>
              </w:numPr>
              <w:rPr>
                <w:rFonts w:hint="eastAsia"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p>
            <w:pPr>
              <w:spacing w:line="360" w:lineRule="exact"/>
              <w:rPr>
                <w:rFonts w:ascii="宋体" w:hAnsi="宋体"/>
                <w:b/>
                <w:sz w:val="21"/>
                <w:szCs w:val="21"/>
              </w:rPr>
            </w:pP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30" w:name="专业代码"/>
            <w:r>
              <w:rPr>
                <w:rFonts w:ascii="宋体" w:hAnsi="宋体"/>
                <w:b/>
                <w:sz w:val="21"/>
                <w:szCs w:val="21"/>
              </w:rPr>
              <w:t>29.12.00;34.05.00</w:t>
            </w:r>
            <w:bookmarkEnd w:id="30"/>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lang w:val="en-US" w:eastAsia="zh-CN"/>
              </w:rPr>
              <w:t>2021.12.20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2019.12.23</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sz w:val="21"/>
          <w:szCs w:val="21"/>
          <w:highlight w:val="none"/>
        </w:rPr>
        <w:t>从上次审核结束日的</w:t>
      </w:r>
      <w:r>
        <w:rPr>
          <w:rFonts w:hint="eastAsia" w:ascii="宋体" w:hAnsi="宋体"/>
          <w:b/>
          <w:sz w:val="21"/>
          <w:szCs w:val="21"/>
          <w:highlight w:val="none"/>
          <w:lang w:val="en-US" w:eastAsia="zh-CN"/>
        </w:rPr>
        <w:t xml:space="preserve"> 2019</w:t>
      </w:r>
      <w:r>
        <w:rPr>
          <w:rFonts w:hint="eastAsia" w:ascii="宋体" w:hAnsi="宋体"/>
          <w:b/>
          <w:sz w:val="21"/>
          <w:szCs w:val="21"/>
          <w:highlight w:val="none"/>
        </w:rPr>
        <w:t>年</w:t>
      </w:r>
      <w:r>
        <w:rPr>
          <w:rFonts w:hint="eastAsia" w:ascii="宋体" w:hAnsi="宋体"/>
          <w:b/>
          <w:sz w:val="21"/>
          <w:szCs w:val="21"/>
          <w:highlight w:val="none"/>
          <w:lang w:val="en-US" w:eastAsia="zh-CN"/>
        </w:rPr>
        <w:t>12</w:t>
      </w:r>
      <w:r>
        <w:rPr>
          <w:rFonts w:hint="eastAsia" w:ascii="宋体" w:hAnsi="宋体"/>
          <w:b/>
          <w:sz w:val="21"/>
          <w:szCs w:val="21"/>
          <w:highlight w:val="none"/>
        </w:rPr>
        <w:t>月</w:t>
      </w:r>
      <w:r>
        <w:rPr>
          <w:rFonts w:hint="eastAsia" w:ascii="宋体" w:hAnsi="宋体"/>
          <w:b/>
          <w:sz w:val="21"/>
          <w:szCs w:val="21"/>
          <w:highlight w:val="none"/>
          <w:lang w:val="en-US" w:eastAsia="zh-CN"/>
        </w:rPr>
        <w:t>23</w:t>
      </w:r>
      <w:r>
        <w:rPr>
          <w:rFonts w:hint="eastAsia" w:ascii="宋体" w:hAnsi="宋体"/>
          <w:b/>
          <w:sz w:val="21"/>
          <w:szCs w:val="21"/>
          <w:highlight w:val="none"/>
        </w:rPr>
        <w:t>日至</w:t>
      </w:r>
      <w:r>
        <w:rPr>
          <w:rFonts w:hint="eastAsia" w:ascii="宋体" w:hAnsi="宋体"/>
          <w:b/>
          <w:sz w:val="21"/>
          <w:szCs w:val="21"/>
          <w:highlight w:val="none"/>
          <w:lang w:val="en-US" w:eastAsia="zh-CN"/>
        </w:rPr>
        <w:t>2021</w:t>
      </w:r>
      <w:r>
        <w:rPr>
          <w:rFonts w:hint="eastAsia" w:ascii="宋体" w:hAnsi="宋体"/>
          <w:b/>
          <w:sz w:val="21"/>
          <w:szCs w:val="21"/>
          <w:highlight w:val="none"/>
        </w:rPr>
        <w:t>年</w:t>
      </w:r>
      <w:r>
        <w:rPr>
          <w:rFonts w:hint="eastAsia" w:ascii="宋体" w:hAnsi="宋体"/>
          <w:b/>
          <w:sz w:val="21"/>
          <w:szCs w:val="21"/>
          <w:highlight w:val="none"/>
          <w:lang w:val="en-US" w:eastAsia="zh-CN"/>
        </w:rPr>
        <w:t>3</w:t>
      </w:r>
      <w:r>
        <w:rPr>
          <w:rFonts w:hint="eastAsia" w:ascii="宋体" w:hAnsi="宋体"/>
          <w:b/>
          <w:sz w:val="21"/>
          <w:szCs w:val="21"/>
          <w:highlight w:val="none"/>
        </w:rPr>
        <w:t>月</w:t>
      </w:r>
      <w:r>
        <w:rPr>
          <w:rFonts w:hint="eastAsia" w:ascii="宋体" w:hAnsi="宋体"/>
          <w:b/>
          <w:sz w:val="21"/>
          <w:szCs w:val="21"/>
          <w:highlight w:val="none"/>
          <w:lang w:val="en-US" w:eastAsia="zh-CN"/>
        </w:rPr>
        <w:t>11</w:t>
      </w:r>
      <w:r>
        <w:rPr>
          <w:rFonts w:hint="eastAsia" w:ascii="宋体" w:hAnsi="宋体"/>
          <w:b/>
          <w:sz w:val="21"/>
          <w:szCs w:val="21"/>
          <w:highlight w:val="none"/>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ascii="宋体" w:hAnsi="宋体" w:eastAsia="宋体"/>
                <w:b/>
                <w:sz w:val="21"/>
                <w:szCs w:val="21"/>
                <w:lang w:eastAsia="zh-CN"/>
              </w:rPr>
            </w:pPr>
            <w:r>
              <w:rPr>
                <w:rFonts w:hint="eastAsia" w:ascii="宋体" w:hAnsi="宋体"/>
                <w:sz w:val="21"/>
                <w:szCs w:val="21"/>
              </w:rPr>
              <w:t>成都坤恒顺维科技股份有限公司是注册于成都高新区的高新技术企业，公司主要业务为无线电实物仿真、无线电测试、无线信号处理产品的研发、生产和销售，以及上述领域的技术开发服务</w:t>
            </w:r>
            <w:r>
              <w:rPr>
                <w:rFonts w:hint="eastAsia" w:ascii="宋体" w:hAnsi="宋体"/>
                <w:sz w:val="21"/>
                <w:szCs w:val="21"/>
                <w:lang w:val="en-US" w:eastAsia="zh-CN"/>
              </w:rPr>
              <w:t>，</w:t>
            </w:r>
            <w:r>
              <w:rPr>
                <w:rFonts w:hint="eastAsia" w:ascii="宋体" w:hAnsi="宋体"/>
                <w:sz w:val="21"/>
                <w:szCs w:val="21"/>
              </w:rPr>
              <w:t>现有员工数</w:t>
            </w:r>
            <w:r>
              <w:rPr>
                <w:rFonts w:hint="eastAsia" w:ascii="宋体" w:hAnsi="宋体"/>
                <w:sz w:val="21"/>
                <w:szCs w:val="21"/>
                <w:lang w:val="en-US" w:eastAsia="zh-CN"/>
              </w:rPr>
              <w:t>79</w:t>
            </w:r>
            <w:r>
              <w:rPr>
                <w:rFonts w:hint="eastAsia" w:ascii="宋体" w:hAnsi="宋体"/>
                <w:sz w:val="21"/>
                <w:szCs w:val="21"/>
              </w:rPr>
              <w:t>人，经营状况良好。组织对内外部因素、相关方需求和期望进行了充分的识别，策划和实施有效。确定了体系的边界，基本适用。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400" w:lineRule="exact"/>
              <w:ind w:firstLine="420" w:firstLineChars="200"/>
              <w:rPr>
                <w:rFonts w:hint="eastAsia" w:ascii="宋体" w:hAnsi="宋体"/>
                <w:b/>
                <w:sz w:val="21"/>
                <w:szCs w:val="21"/>
              </w:rPr>
            </w:pPr>
            <w:r>
              <w:rPr>
                <w:rFonts w:hint="eastAsia" w:ascii="宋体" w:hAnsi="宋体" w:cs="宋体"/>
                <w:color w:val="000000"/>
                <w:sz w:val="21"/>
                <w:szCs w:val="21"/>
              </w:rPr>
              <w:t>组织的</w:t>
            </w:r>
            <w:r>
              <w:rPr>
                <w:rFonts w:hint="eastAsia" w:ascii="宋体" w:hAnsi="宋体" w:cs="宋体"/>
                <w:color w:val="000000"/>
                <w:sz w:val="21"/>
                <w:szCs w:val="21"/>
                <w:lang w:eastAsia="zh-CN"/>
              </w:rPr>
              <w:t>环境</w:t>
            </w:r>
            <w:r>
              <w:rPr>
                <w:rFonts w:hint="eastAsia" w:ascii="宋体" w:hAnsi="宋体" w:cs="宋体"/>
                <w:color w:val="000000"/>
                <w:sz w:val="21"/>
                <w:szCs w:val="21"/>
                <w:lang w:val="en-US" w:eastAsia="zh-CN"/>
              </w:rPr>
              <w:t>管理</w:t>
            </w:r>
            <w:r>
              <w:rPr>
                <w:rFonts w:hint="eastAsia" w:ascii="宋体" w:hAnsi="宋体" w:cs="宋体"/>
                <w:color w:val="000000"/>
                <w:sz w:val="21"/>
                <w:szCs w:val="21"/>
              </w:rPr>
              <w:t>方针为：</w:t>
            </w:r>
            <w:r>
              <w:rPr>
                <w:rFonts w:hint="eastAsia" w:ascii="宋体" w:hAnsi="宋体"/>
                <w:color w:val="000000"/>
                <w:sz w:val="21"/>
                <w:szCs w:val="21"/>
              </w:rPr>
              <w:t>“遵守法律法规</w:t>
            </w:r>
            <w:r>
              <w:rPr>
                <w:rFonts w:hint="eastAsia" w:ascii="宋体" w:hAnsi="宋体"/>
                <w:color w:val="000000"/>
                <w:sz w:val="21"/>
                <w:szCs w:val="21"/>
                <w:lang w:eastAsia="zh-CN"/>
              </w:rPr>
              <w:t>、</w:t>
            </w:r>
            <w:r>
              <w:rPr>
                <w:rFonts w:hint="eastAsia" w:ascii="宋体" w:hAnsi="宋体"/>
                <w:color w:val="000000"/>
                <w:sz w:val="21"/>
                <w:szCs w:val="21"/>
              </w:rPr>
              <w:t>制造绿色产品</w:t>
            </w:r>
            <w:r>
              <w:rPr>
                <w:rFonts w:hint="eastAsia" w:ascii="宋体" w:hAnsi="宋体"/>
                <w:color w:val="000000"/>
                <w:sz w:val="21"/>
                <w:szCs w:val="21"/>
                <w:lang w:eastAsia="zh-CN"/>
              </w:rPr>
              <w:t>、</w:t>
            </w:r>
            <w:r>
              <w:rPr>
                <w:rFonts w:hint="eastAsia" w:ascii="宋体" w:hAnsi="宋体"/>
                <w:color w:val="000000"/>
                <w:sz w:val="21"/>
                <w:szCs w:val="21"/>
              </w:rPr>
              <w:t>节能降耗降废</w:t>
            </w:r>
            <w:r>
              <w:rPr>
                <w:rFonts w:hint="eastAsia" w:ascii="宋体" w:hAnsi="宋体"/>
                <w:color w:val="000000"/>
                <w:sz w:val="21"/>
                <w:szCs w:val="21"/>
                <w:lang w:eastAsia="zh-CN"/>
              </w:rPr>
              <w:t>、</w:t>
            </w:r>
            <w:r>
              <w:rPr>
                <w:rFonts w:hint="eastAsia" w:ascii="宋体" w:hAnsi="宋体"/>
                <w:color w:val="000000"/>
                <w:sz w:val="21"/>
                <w:szCs w:val="21"/>
              </w:rPr>
              <w:t>清洁安全服务</w:t>
            </w:r>
            <w:r>
              <w:rPr>
                <w:rFonts w:hint="eastAsia" w:ascii="宋体" w:hAnsi="宋体"/>
                <w:color w:val="000000"/>
                <w:sz w:val="21"/>
                <w:szCs w:val="21"/>
                <w:lang w:eastAsia="zh-CN"/>
              </w:rPr>
              <w:t>、</w:t>
            </w:r>
            <w:r>
              <w:rPr>
                <w:rFonts w:hint="eastAsia" w:ascii="宋体" w:hAnsi="宋体"/>
                <w:color w:val="000000"/>
                <w:sz w:val="21"/>
                <w:szCs w:val="21"/>
              </w:rPr>
              <w:t>管理持续改进</w:t>
            </w:r>
            <w:r>
              <w:rPr>
                <w:rFonts w:hint="eastAsia" w:ascii="宋体" w:hAnsi="宋体"/>
                <w:color w:val="000000"/>
                <w:sz w:val="21"/>
                <w:szCs w:val="21"/>
                <w:lang w:eastAsia="zh-CN"/>
              </w:rPr>
              <w:t>、</w:t>
            </w:r>
            <w:r>
              <w:rPr>
                <w:rFonts w:hint="eastAsia" w:ascii="宋体" w:hAnsi="宋体"/>
                <w:color w:val="000000"/>
                <w:sz w:val="21"/>
                <w:szCs w:val="21"/>
              </w:rPr>
              <w:t xml:space="preserve"> 建设美好家园”。</w:t>
            </w:r>
            <w:r>
              <w:rPr>
                <w:rFonts w:hint="eastAsia" w:ascii="宋体" w:hAnsi="宋体" w:cs="宋体"/>
                <w:color w:val="000000"/>
                <w:sz w:val="21"/>
                <w:szCs w:val="21"/>
              </w:rPr>
              <w:t>最高管理者组织制定了方针：现行的</w:t>
            </w:r>
            <w:r>
              <w:rPr>
                <w:rFonts w:hint="eastAsia" w:ascii="宋体" w:hAnsi="宋体" w:cs="宋体"/>
                <w:color w:val="000000"/>
                <w:sz w:val="21"/>
                <w:szCs w:val="21"/>
                <w:lang w:eastAsia="zh-CN"/>
              </w:rPr>
              <w:t>环境</w:t>
            </w:r>
            <w:r>
              <w:rPr>
                <w:rFonts w:hint="eastAsia" w:ascii="宋体" w:hAnsi="宋体" w:cs="宋体"/>
                <w:color w:val="000000"/>
                <w:sz w:val="21"/>
                <w:szCs w:val="21"/>
              </w:rPr>
              <w:t>方针在</w:t>
            </w:r>
            <w:r>
              <w:rPr>
                <w:rFonts w:hint="eastAsia" w:ascii="宋体" w:hAnsi="宋体" w:cs="宋体"/>
                <w:color w:val="000000"/>
                <w:sz w:val="21"/>
                <w:szCs w:val="21"/>
                <w:lang w:eastAsia="zh-CN"/>
              </w:rPr>
              <w:t>环境</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hint="eastAsia" w:ascii="宋体" w:hAnsi="宋体" w:eastAsia="宋体" w:cs="宋体"/>
                <w:bCs/>
                <w:iCs/>
                <w:sz w:val="21"/>
                <w:szCs w:val="21"/>
                <w:lang w:val="en-US" w:eastAsia="zh-CN"/>
              </w:rPr>
              <w:t>管理方案</w:t>
            </w:r>
            <w:r>
              <w:rPr>
                <w:rFonts w:hint="eastAsia" w:ascii="宋体" w:hAnsi="宋体" w:eastAsia="宋体" w:cs="宋体"/>
                <w:bCs/>
                <w:iCs/>
                <w:sz w:val="21"/>
                <w:szCs w:val="21"/>
              </w:rPr>
              <w:t>等</w:t>
            </w:r>
            <w:r>
              <w:rPr>
                <w:rFonts w:hint="eastAsia" w:ascii="宋体" w:hAnsi="宋体" w:eastAsia="宋体" w:cs="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b/>
                <w:sz w:val="21"/>
                <w:szCs w:val="21"/>
                <w:lang w:val="en-US" w:eastAsia="zh-CN"/>
              </w:rPr>
            </w:pPr>
            <w:r>
              <w:rPr>
                <w:rFonts w:hint="eastAsia" w:ascii="宋体" w:hAnsi="宋体"/>
                <w:b/>
                <w:sz w:val="21"/>
                <w:szCs w:val="21"/>
                <w:lang w:val="en-US" w:eastAsia="zh-CN"/>
              </w:rPr>
              <w:t>/</w:t>
            </w:r>
          </w:p>
          <w:p>
            <w:pPr>
              <w:spacing w:line="240" w:lineRule="exact"/>
              <w:rPr>
                <w:rFonts w:hint="default" w:ascii="宋体" w:hAnsi="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lang w:eastAsia="zh-CN"/>
              </w:rPr>
            </w:pPr>
            <w:r>
              <w:rPr>
                <w:rFonts w:hint="eastAsia" w:ascii="宋体" w:hAnsi="宋体" w:cs="宋体"/>
                <w:color w:val="000000"/>
                <w:kern w:val="0"/>
                <w:sz w:val="21"/>
                <w:szCs w:val="21"/>
              </w:rPr>
              <w:t>公司制定、发布了总体</w:t>
            </w:r>
            <w:r>
              <w:rPr>
                <w:rFonts w:hint="eastAsia" w:ascii="宋体" w:hAnsi="宋体" w:cs="宋体"/>
                <w:color w:val="000000"/>
                <w:kern w:val="0"/>
                <w:sz w:val="21"/>
                <w:szCs w:val="21"/>
                <w:lang w:eastAsia="zh-CN"/>
              </w:rPr>
              <w:t>环境</w:t>
            </w:r>
            <w:r>
              <w:rPr>
                <w:rFonts w:hint="eastAsia" w:ascii="宋体" w:hAnsi="宋体" w:cs="宋体"/>
                <w:color w:val="000000"/>
                <w:kern w:val="0"/>
                <w:sz w:val="21"/>
                <w:szCs w:val="21"/>
              </w:rPr>
              <w:t>目标并分解到相关职能部门和层次，规定了目标值、计算方法、责任部门、检查人、考核频次等。同时，</w:t>
            </w:r>
            <w:r>
              <w:rPr>
                <w:rFonts w:hint="eastAsia" w:ascii="宋体" w:hAnsi="宋体" w:cs="宋体"/>
                <w:color w:val="000000"/>
                <w:kern w:val="0"/>
                <w:sz w:val="21"/>
                <w:szCs w:val="21"/>
                <w:lang w:eastAsia="zh-CN"/>
              </w:rPr>
              <w:t>环境</w:t>
            </w:r>
            <w:r>
              <w:rPr>
                <w:rFonts w:hint="eastAsia" w:ascii="宋体" w:hAnsi="宋体" w:cs="宋体"/>
                <w:color w:val="000000"/>
                <w:kern w:val="0"/>
                <w:sz w:val="21"/>
                <w:szCs w:val="21"/>
              </w:rPr>
              <w:t>目标得到沟通和监视评价，通过数据的汇总统计、描述性统计等方法对目标进行了测量，总体已达到规定的目标值</w:t>
            </w:r>
            <w:r>
              <w:rPr>
                <w:rFonts w:hint="eastAsia" w:ascii="宋体" w:hAnsi="宋体" w:cs="宋体"/>
                <w:color w:val="000000"/>
                <w:kern w:val="0"/>
                <w:sz w:val="21"/>
                <w:szCs w:val="21"/>
                <w:lang w:eastAsia="zh-CN"/>
              </w:rPr>
              <w:t>。</w:t>
            </w:r>
          </w:p>
          <w:p>
            <w:pPr>
              <w:rPr>
                <w:rFonts w:hint="eastAsia"/>
                <w:sz w:val="21"/>
                <w:szCs w:val="21"/>
              </w:rPr>
            </w:pPr>
            <w:r>
              <w:rPr>
                <w:rFonts w:hint="eastAsia"/>
                <w:sz w:val="21"/>
                <w:szCs w:val="21"/>
                <w:lang w:eastAsia="zh-CN"/>
              </w:rPr>
              <w:t>环境</w:t>
            </w:r>
            <w:r>
              <w:rPr>
                <w:rFonts w:hint="eastAsia"/>
                <w:sz w:val="21"/>
                <w:szCs w:val="21"/>
              </w:rPr>
              <w:t>目标</w:t>
            </w:r>
            <w:r>
              <w:rPr>
                <w:rFonts w:hint="eastAsia"/>
                <w:sz w:val="21"/>
                <w:szCs w:val="21"/>
                <w:highlight w:val="none"/>
              </w:rPr>
              <w:t>：</w:t>
            </w:r>
            <w:r>
              <w:rPr>
                <w:rFonts w:hint="eastAsia" w:ascii="Times New Roman" w:hAnsi="Times New Roman" w:cs="Times New Roman"/>
                <w:sz w:val="21"/>
                <w:szCs w:val="21"/>
                <w:highlight w:val="none"/>
                <w:lang w:eastAsia="zh-CN"/>
              </w:rPr>
              <w:t>（考核时间</w:t>
            </w:r>
            <w:r>
              <w:rPr>
                <w:rFonts w:hint="eastAsia" w:ascii="Times New Roman" w:hAnsi="Times New Roman" w:cs="Times New Roman"/>
                <w:sz w:val="21"/>
                <w:szCs w:val="21"/>
                <w:highlight w:val="none"/>
                <w:lang w:val="en-US" w:eastAsia="zh-CN"/>
              </w:rPr>
              <w:t>2020年1月-</w:t>
            </w:r>
            <w:r>
              <w:rPr>
                <w:rFonts w:hint="eastAsia" w:cs="Times New Roman"/>
                <w:sz w:val="21"/>
                <w:szCs w:val="21"/>
                <w:highlight w:val="none"/>
                <w:lang w:val="en-US" w:eastAsia="zh-CN"/>
              </w:rPr>
              <w:t>2021年</w:t>
            </w:r>
            <w:r>
              <w:rPr>
                <w:rFonts w:hint="eastAsia" w:ascii="Times New Roman" w:hAnsi="Times New Roman" w:cs="Times New Roman"/>
                <w:sz w:val="21"/>
                <w:szCs w:val="21"/>
                <w:highlight w:val="none"/>
                <w:lang w:val="en-US" w:eastAsia="zh-CN"/>
              </w:rPr>
              <w:t>2月）</w:t>
            </w:r>
          </w:p>
          <w:p>
            <w:pPr>
              <w:numPr>
                <w:ilvl w:val="0"/>
                <w:numId w:val="4"/>
              </w:numPr>
              <w:snapToGrid w:val="0"/>
              <w:rPr>
                <w:rFonts w:hint="eastAsia" w:ascii="宋体" w:hAnsi="宋体" w:cs="Times New Roman"/>
                <w:color w:val="000000"/>
                <w:sz w:val="21"/>
                <w:szCs w:val="21"/>
                <w:lang w:val="en-US" w:eastAsia="zh-CN"/>
              </w:rPr>
            </w:pPr>
            <w:r>
              <w:rPr>
                <w:rFonts w:hint="eastAsia" w:ascii="宋体" w:hAnsi="宋体" w:cs="Times New Roman"/>
                <w:color w:val="000000"/>
                <w:sz w:val="21"/>
                <w:szCs w:val="21"/>
              </w:rPr>
              <w:t>固体废弃物合理处置</w:t>
            </w:r>
            <w:r>
              <w:rPr>
                <w:rFonts w:hint="eastAsia" w:ascii="宋体" w:hAnsi="宋体" w:cs="Times New Roman"/>
                <w:color w:val="000000"/>
                <w:sz w:val="21"/>
                <w:szCs w:val="21"/>
                <w:lang w:val="en-US" w:eastAsia="zh-CN"/>
              </w:rPr>
              <w:t>；          100%</w:t>
            </w:r>
          </w:p>
          <w:p>
            <w:pPr>
              <w:numPr>
                <w:ilvl w:val="0"/>
                <w:numId w:val="0"/>
              </w:numPr>
              <w:snapToGrid w:val="0"/>
              <w:rPr>
                <w:rFonts w:hint="default"/>
                <w:lang w:val="en-US" w:eastAsia="zh-CN"/>
              </w:rPr>
            </w:pPr>
            <w:r>
              <w:rPr>
                <w:rFonts w:hint="eastAsia" w:ascii="宋体" w:hAnsi="宋体"/>
                <w:color w:val="000000"/>
                <w:sz w:val="21"/>
                <w:szCs w:val="21"/>
                <w:lang w:val="en-US" w:eastAsia="zh-CN"/>
              </w:rPr>
              <w:t>2）</w:t>
            </w:r>
            <w:r>
              <w:rPr>
                <w:rFonts w:hint="eastAsia" w:ascii="宋体" w:hAnsi="宋体"/>
                <w:color w:val="000000"/>
                <w:sz w:val="21"/>
                <w:szCs w:val="21"/>
              </w:rPr>
              <w:t>环境投诉为</w:t>
            </w:r>
            <w:r>
              <w:rPr>
                <w:rFonts w:hint="eastAsia" w:ascii="宋体" w:hAnsi="宋体"/>
                <w:color w:val="000000"/>
                <w:sz w:val="21"/>
                <w:szCs w:val="21"/>
                <w:lang w:val="en-US" w:eastAsia="zh-CN"/>
              </w:rPr>
              <w:t>零；</w:t>
            </w:r>
            <w:r>
              <w:rPr>
                <w:rFonts w:hint="eastAsia" w:ascii="宋体" w:hAnsi="宋体" w:cs="Times New Roman"/>
                <w:color w:val="000000"/>
                <w:sz w:val="21"/>
                <w:szCs w:val="21"/>
                <w:lang w:val="en-US" w:eastAsia="zh-CN"/>
              </w:rPr>
              <w:t xml:space="preserve">          </w:t>
            </w:r>
            <w:r>
              <w:rPr>
                <w:rFonts w:hint="eastAsia" w:ascii="宋体" w:hAnsi="宋体" w:cs="宋体"/>
                <w:color w:val="000000"/>
                <w:kern w:val="0"/>
                <w:sz w:val="21"/>
                <w:szCs w:val="21"/>
                <w:lang w:val="en-US" w:eastAsia="zh-CN"/>
              </w:rPr>
              <w:t>未发生环境投诉事件</w:t>
            </w:r>
          </w:p>
          <w:p>
            <w:pPr>
              <w:spacing w:line="400" w:lineRule="exact"/>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3</w:t>
            </w:r>
            <w:r>
              <w:rPr>
                <w:rFonts w:hint="eastAsia" w:ascii="宋体" w:hAnsi="宋体"/>
                <w:color w:val="000000"/>
                <w:sz w:val="21"/>
                <w:szCs w:val="21"/>
              </w:rPr>
              <w:t>)火灾事故发生次数为零</w:t>
            </w: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未发生火灾事故。</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w:t>
            </w:r>
            <w:r>
              <w:rPr>
                <w:rFonts w:hint="eastAsia" w:ascii="宋体" w:hAnsi="宋体" w:cs="宋体"/>
                <w:sz w:val="21"/>
                <w:szCs w:val="21"/>
                <w:lang w:eastAsia="zh-CN"/>
              </w:rPr>
              <w:t>环境</w:t>
            </w:r>
            <w:r>
              <w:rPr>
                <w:rFonts w:hint="eastAsia" w:ascii="宋体" w:hAnsi="宋体" w:eastAsia="宋体" w:cs="宋体"/>
                <w:sz w:val="21"/>
                <w:szCs w:val="21"/>
              </w:rPr>
              <w:t>管理体系，体系文件对管理体系各过程进行了识别确定，明确了各要素间的相互关系及其管控要求。公司体</w:t>
            </w:r>
            <w:r>
              <w:rPr>
                <w:rFonts w:hint="eastAsia" w:ascii="宋体" w:hAnsi="宋体" w:eastAsia="宋体" w:cs="宋体"/>
                <w:sz w:val="21"/>
                <w:szCs w:val="21"/>
                <w:highlight w:val="none"/>
              </w:rPr>
              <w:t>系文件于201</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月1日予以发布并有效实</w:t>
            </w:r>
            <w:r>
              <w:rPr>
                <w:rFonts w:hint="eastAsia" w:ascii="宋体" w:hAnsi="宋体" w:eastAsia="宋体" w:cs="宋体"/>
                <w:sz w:val="21"/>
                <w:szCs w:val="21"/>
              </w:rPr>
              <w:t>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highlight w:val="none"/>
              </w:rPr>
            </w:pPr>
            <w:r>
              <w:rPr>
                <w:rFonts w:hint="eastAsia" w:ascii="宋体" w:hAnsi="宋体" w:cs="宋体"/>
                <w:sz w:val="21"/>
                <w:szCs w:val="21"/>
                <w:highlight w:val="none"/>
                <w:lang w:val="en-US" w:eastAsia="zh-CN"/>
              </w:rPr>
              <w:t>办公</w:t>
            </w:r>
            <w:r>
              <w:rPr>
                <w:rFonts w:hint="eastAsia" w:ascii="宋体" w:hAnsi="宋体" w:cs="宋体"/>
                <w:sz w:val="21"/>
                <w:szCs w:val="21"/>
                <w:highlight w:val="none"/>
              </w:rPr>
              <w:t>面积</w:t>
            </w:r>
            <w:r>
              <w:rPr>
                <w:rFonts w:hint="eastAsia" w:ascii="宋体" w:hAnsi="宋体" w:cs="宋体"/>
                <w:sz w:val="21"/>
                <w:szCs w:val="21"/>
                <w:highlight w:val="none"/>
                <w:lang w:val="en-US" w:eastAsia="zh-CN"/>
              </w:rPr>
              <w:t>15</w:t>
            </w:r>
            <w:r>
              <w:rPr>
                <w:rFonts w:hint="eastAsia" w:ascii="宋体" w:hAnsi="宋体" w:cs="宋体"/>
                <w:sz w:val="21"/>
                <w:szCs w:val="21"/>
                <w:highlight w:val="none"/>
              </w:rPr>
              <w:t>0平方左右</w:t>
            </w:r>
            <w:r>
              <w:rPr>
                <w:rFonts w:hint="eastAsia" w:ascii="宋体" w:hAnsi="宋体" w:cs="宋体"/>
                <w:sz w:val="21"/>
                <w:szCs w:val="21"/>
                <w:highlight w:val="none"/>
                <w:lang w:eastAsia="zh-CN"/>
              </w:rPr>
              <w:t>，产品研发、调试</w:t>
            </w:r>
            <w:r>
              <w:rPr>
                <w:rFonts w:hint="eastAsia" w:ascii="宋体" w:hAnsi="宋体" w:cs="宋体"/>
                <w:sz w:val="21"/>
                <w:szCs w:val="21"/>
                <w:highlight w:val="none"/>
              </w:rPr>
              <w:t>面积</w:t>
            </w:r>
            <w:r>
              <w:rPr>
                <w:rFonts w:hint="eastAsia" w:ascii="宋体" w:hAnsi="宋体" w:cs="宋体"/>
                <w:sz w:val="21"/>
                <w:szCs w:val="21"/>
                <w:highlight w:val="none"/>
                <w:lang w:val="en-US" w:eastAsia="zh-CN"/>
              </w:rPr>
              <w:t>850</w:t>
            </w:r>
            <w:r>
              <w:rPr>
                <w:rFonts w:hint="eastAsia" w:ascii="宋体" w:hAnsi="宋体" w:cs="宋体"/>
                <w:sz w:val="21"/>
                <w:szCs w:val="21"/>
                <w:highlight w:val="none"/>
              </w:rPr>
              <w:t>平方左右。主要生产设备包括</w:t>
            </w:r>
            <w:r>
              <w:rPr>
                <w:rFonts w:hint="eastAsia" w:ascii="宋体" w:hAnsi="宋体" w:cs="宋体"/>
                <w:color w:val="000000"/>
                <w:sz w:val="21"/>
                <w:szCs w:val="21"/>
                <w:highlight w:val="none"/>
              </w:rPr>
              <w:t>：</w:t>
            </w:r>
            <w:r>
              <w:rPr>
                <w:rFonts w:hint="eastAsia" w:ascii="宋体" w:hAnsi="宋体" w:cs="宋体"/>
                <w:sz w:val="21"/>
                <w:szCs w:val="21"/>
                <w:highlight w:val="none"/>
              </w:rPr>
              <w:t>办公设备、测试设备（信号源、频谱仪、矢量网络分析仪等）等</w:t>
            </w:r>
            <w:r>
              <w:rPr>
                <w:rFonts w:hint="eastAsia" w:ascii="宋体" w:hAnsi="宋体" w:cs="宋体"/>
                <w:color w:val="000000"/>
                <w:sz w:val="21"/>
                <w:szCs w:val="21"/>
                <w:highlight w:val="none"/>
              </w:rPr>
              <w:t>，</w:t>
            </w:r>
            <w:r>
              <w:rPr>
                <w:rFonts w:hint="eastAsia" w:ascii="宋体" w:hAnsi="宋体" w:cs="宋体"/>
                <w:sz w:val="21"/>
                <w:szCs w:val="21"/>
                <w:highlight w:val="none"/>
              </w:rPr>
              <w:t>可以满足无线电测试设备、无线电仿真设备及无线信号处理设备的设计、销售需要。</w:t>
            </w:r>
            <w:r>
              <w:rPr>
                <w:rFonts w:hint="eastAsia" w:ascii="宋体" w:hAnsi="宋体" w:cs="宋体"/>
                <w:sz w:val="21"/>
                <w:szCs w:val="21"/>
                <w:highlight w:val="none"/>
                <w:lang w:val="en-US" w:eastAsia="zh-CN"/>
              </w:rPr>
              <w:t>研发部</w:t>
            </w:r>
            <w:r>
              <w:rPr>
                <w:rFonts w:hint="eastAsia" w:ascii="宋体" w:hAnsi="宋体" w:cs="宋体"/>
                <w:sz w:val="21"/>
                <w:szCs w:val="21"/>
                <w:highlight w:val="none"/>
              </w:rPr>
              <w:t>对设备按月方式进行点检维护保养，并实施</w:t>
            </w:r>
            <w:r>
              <w:rPr>
                <w:rFonts w:hint="eastAsia" w:ascii="宋体" w:hAnsi="宋体" w:cs="宋体"/>
                <w:color w:val="000000"/>
                <w:sz w:val="21"/>
                <w:szCs w:val="21"/>
                <w:highlight w:val="none"/>
              </w:rPr>
              <w:t>。特种设备：</w:t>
            </w:r>
            <w:r>
              <w:rPr>
                <w:rFonts w:hint="eastAsia" w:ascii="宋体" w:hAnsi="宋体"/>
                <w:sz w:val="21"/>
                <w:szCs w:val="21"/>
                <w:highlight w:val="none"/>
              </w:rPr>
              <w:t>无</w:t>
            </w:r>
            <w:r>
              <w:rPr>
                <w:rFonts w:hint="eastAsia" w:ascii="宋体" w:hAnsi="宋体" w:cs="宋体"/>
                <w:color w:val="000000"/>
                <w:sz w:val="21"/>
                <w:szCs w:val="21"/>
                <w:highlight w:val="none"/>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sz w:val="21"/>
                <w:szCs w:val="21"/>
                <w:lang w:val="en-US" w:eastAsia="zh-CN"/>
              </w:rPr>
              <w:t>办公场所</w:t>
            </w:r>
            <w:r>
              <w:rPr>
                <w:rFonts w:hint="eastAsia" w:ascii="宋体" w:hAnsi="宋体"/>
                <w:sz w:val="21"/>
                <w:szCs w:val="21"/>
              </w:rPr>
              <w:t>设备布置合理，照明设施齐全，均配备了</w:t>
            </w:r>
            <w:r>
              <w:rPr>
                <w:rFonts w:hint="eastAsia" w:ascii="宋体" w:hAnsi="宋体"/>
                <w:sz w:val="21"/>
                <w:szCs w:val="21"/>
                <w:lang w:val="en-US" w:eastAsia="zh-CN"/>
              </w:rPr>
              <w:t>灭火器</w:t>
            </w:r>
            <w:r>
              <w:rPr>
                <w:rFonts w:hint="eastAsia" w:ascii="宋体" w:hAnsi="宋体"/>
                <w:sz w:val="21"/>
                <w:szCs w:val="21"/>
              </w:rPr>
              <w:t>、消防</w:t>
            </w:r>
            <w:r>
              <w:rPr>
                <w:rFonts w:hint="eastAsia" w:ascii="宋体" w:hAnsi="宋体"/>
                <w:sz w:val="21"/>
                <w:szCs w:val="21"/>
                <w:lang w:val="en-US" w:eastAsia="zh-CN"/>
              </w:rPr>
              <w:t>栓</w:t>
            </w:r>
            <w:r>
              <w:rPr>
                <w:rFonts w:hint="eastAsia" w:ascii="宋体" w:hAnsi="宋体"/>
                <w:sz w:val="21"/>
                <w:szCs w:val="21"/>
              </w:rPr>
              <w:t>等设施。目前工作环境符合</w:t>
            </w:r>
            <w:r>
              <w:rPr>
                <w:rFonts w:hint="eastAsia" w:ascii="宋体" w:hAnsi="宋体" w:cs="宋体"/>
                <w:sz w:val="21"/>
                <w:szCs w:val="21"/>
                <w:highlight w:val="none"/>
              </w:rPr>
              <w:t>无线电测试设备、无线电仿真设备及无线信号处理设备的设计、销售</w:t>
            </w:r>
            <w:r>
              <w:rPr>
                <w:rFonts w:hint="eastAsia" w:ascii="宋体" w:hAnsi="宋体" w:cs="宋体"/>
                <w:sz w:val="21"/>
                <w:szCs w:val="21"/>
                <w:highlight w:val="none"/>
                <w:lang w:eastAsia="zh-CN"/>
              </w:rPr>
              <w:t>的</w:t>
            </w:r>
            <w:r>
              <w:rPr>
                <w:rFonts w:hint="eastAsia" w:ascii="宋体" w:hAnsi="宋体"/>
                <w:sz w:val="21"/>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eastAsia" w:ascii="宋体" w:hAnsi="宋体"/>
                <w:b/>
                <w:sz w:val="21"/>
                <w:szCs w:val="21"/>
              </w:rPr>
            </w:pPr>
            <w:r>
              <w:rPr>
                <w:rFonts w:hint="eastAsia" w:ascii="宋体" w:hAnsi="宋体" w:cs="宋体"/>
                <w:sz w:val="21"/>
                <w:szCs w:val="21"/>
                <w:lang w:eastAsia="zh-CN"/>
              </w:rPr>
              <w:t>配备有</w:t>
            </w:r>
            <w:r>
              <w:rPr>
                <w:rFonts w:hint="eastAsia" w:ascii="宋体" w:hAnsi="宋体" w:cs="宋体"/>
                <w:sz w:val="21"/>
                <w:szCs w:val="21"/>
              </w:rPr>
              <w:t>信号源、频谱仪、矢量网络分析仪等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8"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hint="eastAsia" w:ascii="宋体" w:hAnsi="宋体"/>
                <w:b/>
                <w:sz w:val="21"/>
                <w:szCs w:val="21"/>
              </w:rPr>
            </w:pPr>
            <w:r>
              <w:rPr>
                <w:rFonts w:hint="eastAsia" w:ascii="宋体" w:hAnsi="宋体" w:cs="宋体"/>
                <w:color w:val="000000"/>
                <w:sz w:val="21"/>
                <w:szCs w:val="21"/>
              </w:rPr>
              <w:t>最高管理者组织制定了方针：现行的</w:t>
            </w:r>
            <w:r>
              <w:rPr>
                <w:rFonts w:hint="eastAsia" w:ascii="宋体" w:hAnsi="宋体" w:cs="宋体"/>
                <w:color w:val="000000"/>
                <w:sz w:val="21"/>
                <w:szCs w:val="21"/>
                <w:lang w:eastAsia="zh-CN"/>
              </w:rPr>
              <w:t>环境</w:t>
            </w:r>
            <w:r>
              <w:rPr>
                <w:rFonts w:hint="eastAsia" w:ascii="宋体" w:hAnsi="宋体" w:cs="宋体"/>
                <w:color w:val="000000"/>
                <w:sz w:val="21"/>
                <w:szCs w:val="21"/>
              </w:rPr>
              <w:t>方针在</w:t>
            </w:r>
            <w:r>
              <w:rPr>
                <w:rFonts w:hint="eastAsia" w:ascii="宋体" w:hAnsi="宋体" w:cs="宋体"/>
                <w:color w:val="000000"/>
                <w:sz w:val="21"/>
                <w:szCs w:val="21"/>
                <w:lang w:eastAsia="zh-CN"/>
              </w:rPr>
              <w:t>环境</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hint="eastAsia" w:ascii="宋体" w:hAnsi="宋体" w:eastAsia="楷体_GB2312"/>
                <w:b/>
                <w:sz w:val="21"/>
                <w:szCs w:val="21"/>
                <w:lang w:val="en-US" w:eastAsia="zh-CN"/>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p>
            <w:pPr>
              <w:spacing w:line="300" w:lineRule="exact"/>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w:t>
            </w:r>
            <w:r>
              <w:rPr>
                <w:rFonts w:hint="eastAsia" w:asciiTheme="minorEastAsia" w:hAnsiTheme="minorEastAsia" w:eastAsiaTheme="minorEastAsia"/>
                <w:bCs/>
                <w:iCs/>
                <w:sz w:val="21"/>
                <w:szCs w:val="21"/>
                <w:highlight w:val="none"/>
              </w:rPr>
              <w:t>为</w:t>
            </w:r>
            <w:r>
              <w:rPr>
                <w:rFonts w:hint="eastAsia" w:ascii="宋体" w:hAnsi="宋体"/>
                <w:sz w:val="21"/>
                <w:szCs w:val="21"/>
                <w:highlight w:val="none"/>
              </w:rPr>
              <w:t>潜在火灾、固废排放</w:t>
            </w:r>
            <w:r>
              <w:rPr>
                <w:rFonts w:hint="eastAsia" w:asciiTheme="minorEastAsia" w:hAnsiTheme="minorEastAsia" w:eastAsiaTheme="minorEastAsia"/>
                <w:bCs/>
                <w:iCs/>
                <w:sz w:val="21"/>
                <w:szCs w:val="21"/>
                <w:highlight w:val="none"/>
              </w:rPr>
              <w:t>，需要</w:t>
            </w:r>
            <w:r>
              <w:rPr>
                <w:rFonts w:hint="eastAsia" w:asciiTheme="minorEastAsia" w:hAnsiTheme="minorEastAsia" w:eastAsiaTheme="minorEastAsia"/>
                <w:bCs/>
                <w:iCs/>
                <w:sz w:val="21"/>
                <w:szCs w:val="21"/>
              </w:rPr>
              <w:t>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5"/>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highlight w:val="none"/>
              </w:rPr>
              <w:t>公司制定、发布了总体</w:t>
            </w:r>
            <w:r>
              <w:rPr>
                <w:rFonts w:hint="eastAsia" w:ascii="宋体" w:hAnsi="宋体" w:cs="宋体"/>
                <w:color w:val="000000"/>
                <w:sz w:val="21"/>
                <w:szCs w:val="21"/>
                <w:highlight w:val="none"/>
                <w:lang w:eastAsia="zh-CN"/>
              </w:rPr>
              <w:t>环境</w:t>
            </w:r>
            <w:r>
              <w:rPr>
                <w:rFonts w:hint="eastAsia" w:ascii="宋体" w:hAnsi="宋体" w:cs="宋体"/>
                <w:color w:val="000000"/>
                <w:sz w:val="21"/>
                <w:szCs w:val="21"/>
                <w:highlight w:val="none"/>
              </w:rPr>
              <w:t>目标并分解到相关职能部门和层次，规定了目标值、计算方法、责任部门、检查人、考核频次等。同时，</w:t>
            </w:r>
            <w:r>
              <w:rPr>
                <w:rFonts w:hint="eastAsia" w:ascii="宋体" w:hAnsi="宋体" w:cs="宋体"/>
                <w:color w:val="000000"/>
                <w:sz w:val="21"/>
                <w:szCs w:val="21"/>
                <w:highlight w:val="none"/>
                <w:lang w:eastAsia="zh-CN"/>
              </w:rPr>
              <w:t>环境</w:t>
            </w:r>
            <w:r>
              <w:rPr>
                <w:rFonts w:hint="eastAsia" w:ascii="宋体" w:hAnsi="宋体" w:cs="宋体"/>
                <w:color w:val="000000"/>
                <w:sz w:val="21"/>
                <w:szCs w:val="21"/>
                <w:highlight w:val="none"/>
              </w:rPr>
              <w:t>目标得到沟通和监视评价，通过数据的汇总统计、描述性统计等方法对目标进行了测量，总体已达到或超过了规定的目标值。通过20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9月</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2021年2</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eastAsia="zh-CN"/>
              </w:rPr>
              <w:t>环境</w:t>
            </w:r>
            <w:r>
              <w:rPr>
                <w:rFonts w:hint="eastAsia" w:ascii="宋体" w:hAnsi="宋体" w:cs="宋体"/>
                <w:color w:val="000000"/>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6"/>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tabs>
                <w:tab w:val="right" w:pos="9332"/>
              </w:tabs>
              <w:spacing w:line="440" w:lineRule="exact"/>
              <w:rPr>
                <w:rFonts w:ascii="宋体" w:hAnsi="宋体"/>
                <w:b/>
                <w:sz w:val="21"/>
                <w:szCs w:val="21"/>
              </w:rPr>
            </w:pPr>
            <w:r>
              <w:rPr>
                <w:rFonts w:hint="eastAsia" w:ascii="宋体" w:hAnsi="宋体" w:cs="宋体"/>
                <w:sz w:val="21"/>
                <w:szCs w:val="21"/>
                <w:highlight w:val="none"/>
              </w:rPr>
              <w:t>建立有《内部审核控制程序》，规定了内审频次一年一次，内审时间：20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lang w:val="en-US" w:eastAsia="zh-CN"/>
              </w:rPr>
              <w:t>18</w:t>
            </w:r>
            <w:r>
              <w:rPr>
                <w:rFonts w:hint="eastAsia" w:ascii="宋体" w:hAnsi="宋体" w:cs="宋体"/>
                <w:sz w:val="21"/>
                <w:szCs w:val="21"/>
                <w:highlight w:val="none"/>
              </w:rPr>
              <w:t>日，拟定了审核实施表，明确了内审范围，内审人员经培训合格上岗，能力满足要求，未出现审核本部门情况，内审不符合项1项，</w:t>
            </w:r>
            <w:r>
              <w:rPr>
                <w:rFonts w:hint="eastAsia" w:ascii="宋体" w:hAnsi="宋体" w:cs="宋体"/>
                <w:color w:val="000000"/>
                <w:sz w:val="21"/>
                <w:szCs w:val="21"/>
                <w:highlight w:val="none"/>
                <w:lang w:val="en-US" w:eastAsia="zh-CN"/>
              </w:rPr>
              <w:t>涉及行政部E9.1.1</w:t>
            </w:r>
            <w:r>
              <w:rPr>
                <w:rFonts w:hint="eastAsia" w:ascii="宋体" w:hAnsi="宋体" w:cs="宋体"/>
                <w:sz w:val="21"/>
                <w:szCs w:val="21"/>
                <w:highlight w:val="none"/>
                <w:lang w:val="en-US" w:eastAsia="zh-CN"/>
              </w:rPr>
              <w:t>条款</w:t>
            </w:r>
            <w:r>
              <w:rPr>
                <w:rFonts w:hint="eastAsia" w:ascii="宋体" w:hAnsi="宋体"/>
                <w:sz w:val="21"/>
                <w:szCs w:val="21"/>
                <w:highlight w:val="none"/>
                <w:lang w:val="en-US" w:eastAsia="zh-CN"/>
              </w:rPr>
              <w:t>未能提供2020年6月份的环境安全检查记录</w:t>
            </w:r>
            <w:r>
              <w:rPr>
                <w:rFonts w:hint="eastAsia" w:ascii="宋体" w:hAnsi="宋体" w:cs="宋体"/>
                <w:sz w:val="21"/>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sz w:val="21"/>
                <w:szCs w:val="21"/>
              </w:rPr>
              <w:t>管理评审频次为</w:t>
            </w:r>
            <w:r>
              <w:rPr>
                <w:rFonts w:hint="eastAsia" w:ascii="宋体" w:hAnsi="宋体" w:cs="宋体"/>
                <w:sz w:val="21"/>
                <w:szCs w:val="21"/>
                <w:highlight w:val="none"/>
              </w:rPr>
              <w:t>一年一次、本次管理评审于20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lang w:val="en-US" w:eastAsia="zh-CN"/>
              </w:rPr>
              <w:t>30</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lang w:eastAsia="zh-CN"/>
              </w:rPr>
              <w:t>（</w:t>
            </w: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7"/>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7"/>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120" w:leftChars="-50" w:firstLine="531" w:firstLineChars="252"/>
              <w:rPr>
                <w:rFonts w:ascii="宋体" w:hAnsi="宋体"/>
                <w:b/>
                <w:sz w:val="21"/>
                <w:szCs w:val="21"/>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rPr>
                <w:rFonts w:hint="eastAsia" w:ascii="宋体" w:hAnsi="宋体"/>
                <w:b/>
                <w:sz w:val="21"/>
                <w:szCs w:val="21"/>
              </w:rPr>
            </w:pPr>
            <w:r>
              <w:rPr>
                <w:rFonts w:hint="eastAsia" w:ascii="宋体" w:hAnsi="宋体" w:eastAsia="宋体" w:cs="宋体"/>
                <w:color w:val="auto"/>
                <w:sz w:val="21"/>
                <w:szCs w:val="21"/>
                <w:highlight w:val="none"/>
              </w:rPr>
              <w:t>上次不符合</w:t>
            </w:r>
            <w:r>
              <w:rPr>
                <w:rFonts w:hint="eastAsia" w:ascii="宋体" w:hAnsi="宋体" w:cs="宋体"/>
                <w:color w:val="auto"/>
                <w:sz w:val="21"/>
                <w:szCs w:val="21"/>
                <w:highlight w:val="none"/>
                <w:lang w:val="en-US" w:eastAsia="zh-CN"/>
              </w:rPr>
              <w:t>为研发部门</w:t>
            </w:r>
            <w:r>
              <w:rPr>
                <w:rFonts w:hint="eastAsia" w:ascii="宋体" w:hAnsi="宋体" w:eastAsia="宋体" w:cs="宋体"/>
                <w:color w:val="auto"/>
                <w:sz w:val="21"/>
                <w:szCs w:val="21"/>
                <w:highlight w:val="none"/>
                <w:lang w:val="en-US" w:eastAsia="zh-CN"/>
              </w:rPr>
              <w:t>E</w:t>
            </w:r>
            <w:r>
              <w:rPr>
                <w:rFonts w:hint="eastAsia" w:ascii="宋体" w:hAnsi="宋体" w:cs="宋体"/>
                <w:color w:val="auto"/>
                <w:sz w:val="21"/>
                <w:szCs w:val="21"/>
                <w:highlight w:val="none"/>
                <w:lang w:val="en-US" w:eastAsia="zh-CN"/>
              </w:rPr>
              <w:t>8.1条款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szCs w:val="21"/>
          <w:highlight w:val="none"/>
        </w:rPr>
      </w:pPr>
      <w:r>
        <w:rPr>
          <w:rFonts w:hint="eastAsia" w:ascii="宋体" w:hAnsi="宋体"/>
          <w:b/>
          <w:szCs w:val="21"/>
          <w:highlight w:val="none"/>
        </w:rPr>
        <w:t>本</w:t>
      </w:r>
      <w:r>
        <w:rPr>
          <w:rFonts w:hint="eastAsia"/>
          <w:b/>
          <w:sz w:val="26"/>
          <w:szCs w:val="26"/>
          <w:highlight w:val="none"/>
        </w:rPr>
        <w:t>次审核共开具不符合项报告</w:t>
      </w:r>
      <w:r>
        <w:rPr>
          <w:rFonts w:hint="eastAsia"/>
          <w:b/>
          <w:sz w:val="26"/>
          <w:szCs w:val="26"/>
          <w:highlight w:val="none"/>
          <w:lang w:val="en-US" w:eastAsia="zh-CN"/>
        </w:rPr>
        <w:t>0</w:t>
      </w:r>
      <w:r>
        <w:rPr>
          <w:rFonts w:hint="eastAsia"/>
          <w:b/>
          <w:sz w:val="26"/>
          <w:szCs w:val="26"/>
          <w:highlight w:val="none"/>
        </w:rPr>
        <w:t>项；其中</w:t>
      </w:r>
      <w:r>
        <w:rPr>
          <w:b/>
          <w:sz w:val="26"/>
          <w:szCs w:val="26"/>
          <w:highlight w:val="none"/>
        </w:rPr>
        <w:pict>
          <v:line id="直接连接符 1" o:spid="_x0000_s2053" o:spt="20" style="position:absolute;left:0pt;margin-left:210pt;margin-top:16.2pt;height:0pt;width:0.05pt;z-index:8192;mso-width-relative:page;mso-height-relative:page;" coordsize="21600,21600" o:allowincell="f">
            <v:path arrowok="t"/>
            <v:fill focussize="0,0"/>
            <v:stroke/>
            <v:imagedata o:title=""/>
            <o:lock v:ext="edit"/>
          </v:line>
        </w:pict>
      </w:r>
      <w:r>
        <w:rPr>
          <w:rFonts w:hint="eastAsia"/>
          <w:b/>
          <w:sz w:val="26"/>
          <w:szCs w:val="26"/>
          <w:highlight w:val="none"/>
        </w:rPr>
        <w:t xml:space="preserve">严重不符合 0项，一般不符合 </w:t>
      </w:r>
      <w:r>
        <w:rPr>
          <w:rFonts w:hint="eastAsia"/>
          <w:b/>
          <w:sz w:val="26"/>
          <w:szCs w:val="26"/>
          <w:highlight w:val="none"/>
          <w:lang w:val="en-US" w:eastAsia="zh-CN"/>
        </w:rPr>
        <w:t>0</w:t>
      </w:r>
      <w:r>
        <w:rPr>
          <w:rFonts w:hint="eastAsia"/>
          <w:b/>
          <w:sz w:val="26"/>
          <w:szCs w:val="26"/>
          <w:highlight w:val="none"/>
        </w:rPr>
        <w:t>项，观察项0项。不符合项分布在</w:t>
      </w:r>
      <w:r>
        <w:rPr>
          <w:rFonts w:hint="eastAsia"/>
          <w:b/>
          <w:sz w:val="26"/>
          <w:szCs w:val="26"/>
          <w:highlight w:val="none"/>
          <w:lang w:val="en-US" w:eastAsia="zh-CN"/>
        </w:rPr>
        <w:t xml:space="preserve"> </w:t>
      </w:r>
      <w:r>
        <w:rPr>
          <w:rFonts w:hint="eastAsia"/>
          <w:b/>
          <w:sz w:val="26"/>
          <w:szCs w:val="26"/>
          <w:highlight w:val="none"/>
        </w:rPr>
        <w:t>部门条款，见不符合</w:t>
      </w:r>
      <w:r>
        <w:rPr>
          <w:rFonts w:hint="eastAsia" w:ascii="宋体" w:hAnsi="宋体"/>
          <w:b/>
          <w:szCs w:val="21"/>
          <w:highlight w:val="none"/>
        </w:rPr>
        <w:t>项分布表。（Q/J/E/S分开填写）</w:t>
      </w:r>
    </w:p>
    <w:p>
      <w:pPr>
        <w:tabs>
          <w:tab w:val="left" w:pos="645"/>
        </w:tabs>
        <w:spacing w:after="163" w:afterLines="50" w:line="360" w:lineRule="exact"/>
        <w:rPr>
          <w:b/>
          <w:sz w:val="16"/>
          <w:szCs w:val="16"/>
          <w:highlight w:val="none"/>
        </w:rPr>
      </w:pPr>
      <w:r>
        <w:rPr>
          <w:rFonts w:hint="eastAsia"/>
          <w:b/>
          <w:sz w:val="26"/>
          <w:szCs w:val="26"/>
          <w:highlight w:val="none"/>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8"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tabs>
                <w:tab w:val="left" w:pos="2552"/>
              </w:tabs>
              <w:spacing w:beforeLines="50" w:afterLines="50" w:line="280" w:lineRule="exact"/>
              <w:ind w:firstLine="720" w:firstLineChars="3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成都坤恒顺维科技股份有限公司</w:t>
            </w:r>
            <w:r>
              <w:rPr>
                <w:rFonts w:hint="eastAsia" w:ascii="微软雅黑" w:hAnsi="微软雅黑" w:eastAsia="微软雅黑"/>
                <w:bCs/>
                <w:szCs w:val="24"/>
              </w:rPr>
              <w:t>）的</w:t>
            </w:r>
            <w:r>
              <w:rPr>
                <w:rFonts w:hint="eastAsia" w:ascii="微软雅黑" w:hAnsi="微软雅黑" w:eastAsia="微软雅黑"/>
                <w:bCs/>
                <w:szCs w:val="24"/>
                <w:lang w:eastAsia="zh-CN"/>
              </w:rPr>
              <w:t>环境</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b/>
          <w:sz w:val="26"/>
          <w:szCs w:val="26"/>
        </w:rPr>
      </w:pPr>
    </w:p>
    <w:p>
      <w:pPr>
        <w:spacing w:beforeLines="50" w:afterLines="50"/>
        <w:ind w:left="-122" w:leftChars="-51" w:firstLine="120" w:firstLineChars="46"/>
        <w:rPr>
          <w:rFonts w:hint="default"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：本次审核为补充审核，只审核了</w:t>
      </w:r>
      <w:r>
        <w:rPr>
          <w:rFonts w:hint="eastAsia"/>
          <w:b/>
          <w:sz w:val="26"/>
          <w:szCs w:val="26"/>
          <w:lang w:val="en-US" w:eastAsia="zh-CN"/>
        </w:rPr>
        <w:t>研发部。</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52" w:firstLineChars="250"/>
        <w:rPr>
          <w:rFonts w:hint="eastAsia"/>
          <w:b/>
          <w:sz w:val="21"/>
        </w:rPr>
      </w:pPr>
      <w:r>
        <w:rPr>
          <w:rFonts w:hint="eastAsia"/>
          <w:b/>
          <w:sz w:val="22"/>
          <w:szCs w:val="22"/>
        </w:rPr>
        <w:drawing>
          <wp:anchor distT="0" distB="0" distL="114300" distR="114300" simplePos="0" relativeHeight="251663360" behindDoc="0" locked="0" layoutInCell="1" allowOverlap="1">
            <wp:simplePos x="0" y="0"/>
            <wp:positionH relativeFrom="column">
              <wp:posOffset>1123950</wp:posOffset>
            </wp:positionH>
            <wp:positionV relativeFrom="paragraph">
              <wp:posOffset>70485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2" w:firstLineChars="250"/>
        <w:rPr>
          <w:rFonts w:hint="eastAsia"/>
          <w:b/>
          <w:sz w:val="21"/>
          <w:lang w:val="en-US" w:eastAsia="zh-CN"/>
        </w:rPr>
      </w:pPr>
      <w:r>
        <w:rPr>
          <w:rFonts w:hint="eastAsia"/>
          <w:b/>
          <w:sz w:val="22"/>
          <w:szCs w:val="22"/>
        </w:rPr>
        <w:drawing>
          <wp:anchor distT="0" distB="0" distL="114300" distR="114300" simplePos="0" relativeHeight="251665408" behindDoc="0" locked="0" layoutInCell="1" allowOverlap="1">
            <wp:simplePos x="0" y="0"/>
            <wp:positionH relativeFrom="column">
              <wp:posOffset>1663700</wp:posOffset>
            </wp:positionH>
            <wp:positionV relativeFrom="paragraph">
              <wp:posOffset>43815</wp:posOffset>
            </wp:positionV>
            <wp:extent cx="757555" cy="419735"/>
            <wp:effectExtent l="0" t="0" r="4445" b="698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1"/>
        </w:rPr>
        <w:t>审核组组员（签名）：</w:t>
      </w:r>
      <w:r>
        <w:rPr>
          <w:rFonts w:hint="eastAsia"/>
          <w:b/>
          <w:sz w:val="21"/>
          <w:lang w:val="en-US" w:eastAsia="zh-CN"/>
        </w:rPr>
        <w:t xml:space="preserve">                      </w:t>
      </w:r>
    </w:p>
    <w:p>
      <w:pPr>
        <w:snapToGrid w:val="0"/>
        <w:spacing w:before="163" w:beforeLines="50" w:line="320" w:lineRule="exact"/>
        <w:ind w:firstLine="4954" w:firstLineChars="2350"/>
        <w:rPr>
          <w:rFonts w:hint="default" w:eastAsia="宋体"/>
          <w:b/>
          <w:sz w:val="21"/>
          <w:lang w:val="en-US" w:eastAsia="zh-CN"/>
        </w:rPr>
      </w:pPr>
      <w:r>
        <w:rPr>
          <w:rFonts w:hint="eastAsia"/>
          <w:b/>
          <w:sz w:val="21"/>
        </w:rPr>
        <w:t>日期：</w:t>
      </w:r>
      <w:r>
        <w:rPr>
          <w:rFonts w:hint="eastAsia"/>
          <w:b/>
          <w:sz w:val="21"/>
          <w:lang w:val="en-US" w:eastAsia="zh-CN"/>
        </w:rPr>
        <w:t>2021年3月11日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sz w:val="21"/>
          <w:szCs w:val="21"/>
          <w:highlight w:val="none"/>
        </w:rPr>
        <w:t>□</w:t>
      </w:r>
      <w:r>
        <w:rPr>
          <w:b/>
          <w:sz w:val="21"/>
          <w:szCs w:val="21"/>
          <w:highlight w:val="none"/>
        </w:rPr>
        <w:t>QMS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个严重不符合，□验证合格□仍有问题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EMS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0</w:t>
      </w:r>
      <w:r>
        <w:rPr>
          <w:b/>
          <w:sz w:val="21"/>
          <w:szCs w:val="21"/>
          <w:highlight w:val="none"/>
        </w:rPr>
        <w:t xml:space="preserve"> )</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spacing w:line="360" w:lineRule="auto"/>
        <w:ind w:left="600"/>
        <w:rPr>
          <w:rFonts w:hint="default" w:eastAsia="宋体"/>
          <w:b/>
          <w:sz w:val="21"/>
          <w:szCs w:val="21"/>
          <w:u w:val="single"/>
          <w:lang w:val="en-US" w:eastAsia="zh-CN"/>
        </w:rPr>
      </w:pPr>
      <w:r>
        <w:rPr>
          <w:rFonts w:hint="eastAsia"/>
          <w:b/>
          <w:sz w:val="22"/>
          <w:szCs w:val="22"/>
        </w:rPr>
        <w:drawing>
          <wp:anchor distT="0" distB="0" distL="114300" distR="114300" simplePos="0" relativeHeight="251667456" behindDoc="0" locked="0" layoutInCell="1" allowOverlap="1">
            <wp:simplePos x="0" y="0"/>
            <wp:positionH relativeFrom="column">
              <wp:posOffset>1171575</wp:posOffset>
            </wp:positionH>
            <wp:positionV relativeFrom="paragraph">
              <wp:posOffset>33655</wp:posOffset>
            </wp:positionV>
            <wp:extent cx="757555" cy="41973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1"/>
          <w:szCs w:val="21"/>
        </w:rPr>
        <w:t>组长签字：</w:t>
      </w:r>
      <w:r>
        <w:rPr>
          <w:rFonts w:hint="eastAsia"/>
          <w:b/>
          <w:sz w:val="21"/>
          <w:szCs w:val="21"/>
          <w:lang w:val="en-US" w:eastAsia="zh-CN"/>
        </w:rPr>
        <w:t xml:space="preserve">                       </w:t>
      </w:r>
      <w:r>
        <w:rPr>
          <w:rFonts w:hint="eastAsia"/>
          <w:b/>
          <w:szCs w:val="24"/>
          <w:lang w:val="en-US" w:eastAsia="zh-CN"/>
        </w:rPr>
        <w:t xml:space="preserve"> </w:t>
      </w:r>
      <w:r>
        <w:rPr>
          <w:rFonts w:hint="eastAsia"/>
          <w:b/>
          <w:szCs w:val="24"/>
        </w:rPr>
        <w:t>日期：</w:t>
      </w:r>
      <w:r>
        <w:rPr>
          <w:rFonts w:hint="eastAsia"/>
          <w:b/>
          <w:szCs w:val="24"/>
          <w:lang w:val="en-US" w:eastAsia="zh-CN"/>
        </w:rPr>
        <w:t>2021</w:t>
      </w:r>
      <w:r>
        <w:rPr>
          <w:rFonts w:hint="eastAsia"/>
          <w:b/>
          <w:szCs w:val="24"/>
        </w:rPr>
        <w:t xml:space="preserve"> 年 </w:t>
      </w:r>
      <w:r>
        <w:rPr>
          <w:rFonts w:hint="eastAsia"/>
          <w:b/>
          <w:szCs w:val="24"/>
          <w:lang w:val="en-US" w:eastAsia="zh-CN"/>
        </w:rPr>
        <w:t>3</w:t>
      </w:r>
      <w:r>
        <w:rPr>
          <w:rFonts w:hint="eastAsia"/>
          <w:b/>
          <w:szCs w:val="24"/>
        </w:rPr>
        <w:t xml:space="preserve">月 </w:t>
      </w:r>
      <w:r>
        <w:rPr>
          <w:rFonts w:hint="eastAsia"/>
          <w:b/>
          <w:szCs w:val="24"/>
          <w:lang w:val="en-US" w:eastAsia="zh-CN"/>
        </w:rPr>
        <w:t>11</w:t>
      </w:r>
      <w:bookmarkStart w:id="31" w:name="_GoBack"/>
      <w:bookmarkEnd w:id="31"/>
      <w:r>
        <w:rPr>
          <w:rFonts w:hint="eastAsia"/>
          <w:b/>
          <w:szCs w:val="24"/>
        </w:rPr>
        <w:t>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A4795A"/>
    <w:multiLevelType w:val="singleLevel"/>
    <w:tmpl w:val="86A4795A"/>
    <w:lvl w:ilvl="0" w:tentative="0">
      <w:start w:val="8"/>
      <w:numFmt w:val="decimal"/>
      <w:suff w:val="space"/>
      <w:lvlText w:val="%1."/>
      <w:lvlJc w:val="left"/>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EEC03D50"/>
    <w:multiLevelType w:val="singleLevel"/>
    <w:tmpl w:val="EEC03D50"/>
    <w:lvl w:ilvl="0" w:tentative="0">
      <w:start w:val="1"/>
      <w:numFmt w:val="decimal"/>
      <w:suff w:val="nothing"/>
      <w:lvlText w:val="%1）"/>
      <w:lvlJc w:val="left"/>
    </w:lvl>
  </w:abstractNum>
  <w:abstractNum w:abstractNumId="3">
    <w:nsid w:val="FF9FF377"/>
    <w:multiLevelType w:val="singleLevel"/>
    <w:tmpl w:val="FF9FF377"/>
    <w:lvl w:ilvl="0" w:tentative="0">
      <w:start w:val="2"/>
      <w:numFmt w:val="decimal"/>
      <w:lvlText w:val="%1."/>
      <w:lvlJc w:val="left"/>
      <w:pPr>
        <w:tabs>
          <w:tab w:val="left" w:pos="312"/>
        </w:tabs>
      </w:pPr>
    </w:lvl>
  </w:abstractNum>
  <w:abstractNum w:abstractNumId="4">
    <w:nsid w:val="2E63DEEC"/>
    <w:multiLevelType w:val="singleLevel"/>
    <w:tmpl w:val="2E63DEEC"/>
    <w:lvl w:ilvl="0" w:tentative="0">
      <w:start w:val="3"/>
      <w:numFmt w:val="decimal"/>
      <w:lvlText w:val="%1."/>
      <w:lvlJc w:val="left"/>
      <w:pPr>
        <w:tabs>
          <w:tab w:val="left" w:pos="312"/>
        </w:tabs>
      </w:pPr>
    </w:lvl>
  </w:abstractNum>
  <w:abstractNum w:abstractNumId="5">
    <w:nsid w:val="48D96EA0"/>
    <w:multiLevelType w:val="singleLevel"/>
    <w:tmpl w:val="48D96EA0"/>
    <w:lvl w:ilvl="0" w:tentative="0">
      <w:start w:val="2"/>
      <w:numFmt w:val="decimal"/>
      <w:suff w:val="nothing"/>
      <w:lvlText w:val="%1、"/>
      <w:lvlJc w:val="left"/>
    </w:lvl>
  </w:abstractNum>
  <w:abstractNum w:abstractNumId="6">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5"/>
  </w:num>
  <w:num w:numId="2">
    <w:abstractNumId w:val="4"/>
  </w:num>
  <w:num w:numId="3">
    <w:abstractNumId w:val="6"/>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9413FB"/>
    <w:rsid w:val="21090CBB"/>
    <w:rsid w:val="35593BCB"/>
    <w:rsid w:val="4DA12152"/>
    <w:rsid w:val="51B43CD3"/>
    <w:rsid w:val="55693C28"/>
    <w:rsid w:val="722A14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2021-03-11T02:11:29Z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