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2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受审核部门：研发部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eastAsia="zh-CN"/>
              </w:rPr>
              <w:t>王川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赵燕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592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杨珍全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2021.3.11下午</w:t>
            </w:r>
          </w:p>
        </w:tc>
        <w:tc>
          <w:tcPr>
            <w:tcW w:w="99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59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审核条款： </w:t>
            </w:r>
          </w:p>
        </w:tc>
        <w:tc>
          <w:tcPr>
            <w:tcW w:w="99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E5.3； </w:t>
            </w:r>
          </w:p>
        </w:tc>
        <w:tc>
          <w:tcPr>
            <w:tcW w:w="10592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查，研发部的岗位职责和权限如下：</w:t>
            </w:r>
          </w:p>
          <w:p>
            <w:pPr>
              <w:spacing w:line="400" w:lineRule="exact"/>
              <w:ind w:left="1297" w:leftChars="174" w:hanging="932" w:hangingChars="44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1）参与制定公司发展战略与年度经营计划； </w:t>
            </w:r>
          </w:p>
          <w:p>
            <w:pPr>
              <w:spacing w:line="400" w:lineRule="exact"/>
              <w:ind w:left="101" w:leftChars="48" w:firstLine="315" w:firstLineChars="1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2）领导建立和完善管理制度，组织实施并监督、检查生产体系的运行；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3）组织落实研发过程各项质量、环境、成本指标等； 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4）管理基础设施维护，保证研发现场能够正常运行，设备处于良好状态；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5）负责本部门环境因素的识别评价和控制措施的实施；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10）参与公司组织的应急演习、合规性评价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……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研发部负责人对部门职责清楚。</w:t>
            </w:r>
          </w:p>
        </w:tc>
        <w:tc>
          <w:tcPr>
            <w:tcW w:w="997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160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目标及其实现的策划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E6.2</w:t>
            </w:r>
          </w:p>
        </w:tc>
        <w:tc>
          <w:tcPr>
            <w:tcW w:w="10592" w:type="dxa"/>
            <w:vAlign w:val="top"/>
          </w:tcPr>
          <w:p>
            <w:pPr>
              <w:spacing w:line="400" w:lineRule="atLeast"/>
              <w:ind w:right="170"/>
              <w:jc w:val="left"/>
              <w:rPr>
                <w:rFonts w:hint="eastAsia" w:ascii="宋体" w:hAnsi="宋体" w:cs="Arial"/>
                <w:iCs/>
                <w:sz w:val="21"/>
                <w:szCs w:val="21"/>
              </w:rPr>
            </w:pPr>
            <w:r>
              <w:rPr>
                <w:rFonts w:hint="eastAsia" w:ascii="宋体" w:hAnsi="宋体" w:cs="Arial"/>
                <w:iCs/>
                <w:sz w:val="21"/>
                <w:szCs w:val="21"/>
                <w:lang w:bidi="ar"/>
              </w:rPr>
              <w:t>查研发部的环境安全目标为：</w:t>
            </w:r>
          </w:p>
          <w:p>
            <w:pPr>
              <w:spacing w:line="400" w:lineRule="atLeast"/>
              <w:ind w:right="170"/>
              <w:jc w:val="left"/>
              <w:rPr>
                <w:rFonts w:hint="eastAsia" w:ascii="宋体" w:hAnsi="宋体" w:eastAsia="宋体" w:cs="Arial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iCs/>
                <w:sz w:val="21"/>
                <w:szCs w:val="21"/>
                <w:lang w:bidi="ar"/>
              </w:rPr>
              <w:t>环境目标</w:t>
            </w:r>
            <w:r>
              <w:rPr>
                <w:rFonts w:hint="eastAsia" w:ascii="宋体" w:hAnsi="宋体" w:cs="Arial"/>
                <w:iCs/>
                <w:sz w:val="21"/>
                <w:szCs w:val="21"/>
                <w:lang w:eastAsia="zh-CN" w:bidi="ar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400" w:lineRule="atLeast"/>
              <w:ind w:right="-107" w:rightChars="-51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固废分类处置率</w:t>
            </w:r>
            <w:r>
              <w:rPr>
                <w:rFonts w:hint="eastAsia" w:ascii="宋体" w:hAnsi="宋体" w:cs="Arial"/>
                <w:iCs/>
                <w:sz w:val="21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％；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  <w:t>火灾发生为 0</w:t>
            </w:r>
          </w:p>
          <w:p>
            <w:pPr>
              <w:spacing w:line="400" w:lineRule="atLeast"/>
              <w:ind w:right="-107" w:rightChars="-51"/>
              <w:jc w:val="left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  <w:t>查：</w:t>
            </w:r>
          </w:p>
          <w:p>
            <w:pPr>
              <w:spacing w:line="400" w:lineRule="atLeast"/>
              <w:ind w:right="-107" w:rightChars="-5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查20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2021年2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月研发部目标完成情况：</w:t>
            </w:r>
          </w:p>
          <w:p>
            <w:pPr>
              <w:numPr>
                <w:ilvl w:val="0"/>
                <w:numId w:val="2"/>
              </w:numPr>
              <w:spacing w:line="400" w:lineRule="atLeast"/>
              <w:ind w:right="-107" w:rightChars="-51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固废分类处置率</w:t>
            </w:r>
            <w:r>
              <w:rPr>
                <w:rFonts w:hint="eastAsia" w:ascii="宋体" w:hAnsi="宋体" w:cs="Arial"/>
                <w:iCs/>
                <w:sz w:val="21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％；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未发生火灾事故。</w:t>
            </w:r>
          </w:p>
          <w:p>
            <w:pPr>
              <w:spacing w:line="400" w:lineRule="atLeast"/>
              <w:ind w:right="-107" w:rightChars="-5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达到要求。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查，公司编制了环境管理实施方案：制定、执行程序或作业文件；加强监测和测量；培训与教育；应急响应。</w:t>
            </w:r>
          </w:p>
        </w:tc>
        <w:tc>
          <w:tcPr>
            <w:tcW w:w="997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环境因素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E6.1.2</w:t>
            </w:r>
          </w:p>
        </w:tc>
        <w:tc>
          <w:tcPr>
            <w:tcW w:w="10592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查，依据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《环境因素的识别与评价》</w:t>
            </w:r>
            <w:r>
              <w:rPr>
                <w:rFonts w:hint="eastAsia" w:ascii="宋体" w:cs="宋体"/>
                <w:sz w:val="21"/>
                <w:szCs w:val="21"/>
                <w:lang w:bidi="ar"/>
              </w:rPr>
              <w:t>，根据不同的时态、状态识别了环境因素，通过对其发生的可能性、危害性等进行评价，研发部确定的重要环境因素有：潜在火灾、固废的排放。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现场查看，部门的主要工作职责为制造设计过程控制。研发过程中有</w:t>
            </w:r>
            <w:r>
              <w:rPr>
                <w:rFonts w:hint="eastAsia" w:cs="宋体"/>
                <w:sz w:val="21"/>
                <w:szCs w:val="21"/>
                <w:lang w:bidi="ar"/>
              </w:rPr>
              <w:t>废弃产品、辅料等固废，</w:t>
            </w:r>
            <w:r>
              <w:rPr>
                <w:rFonts w:hint="eastAsia" w:ascii="宋体" w:cs="宋体"/>
                <w:sz w:val="21"/>
                <w:szCs w:val="21"/>
                <w:lang w:bidi="ar"/>
              </w:rPr>
              <w:t>部门的环境因素识别和重要环境因素基本到位。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沟通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E7.4  </w:t>
            </w:r>
          </w:p>
        </w:tc>
        <w:tc>
          <w:tcPr>
            <w:tcW w:w="10592" w:type="dxa"/>
            <w:vAlign w:val="top"/>
          </w:tcPr>
          <w:p>
            <w:pPr>
              <w:pStyle w:val="8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--《环境信息交流管理程序》</w:t>
            </w:r>
            <w:r>
              <w:rPr>
                <w:rFonts w:hint="eastAsia" w:cs="Arial"/>
                <w:kern w:val="2"/>
                <w:sz w:val="21"/>
                <w:szCs w:val="21"/>
              </w:rPr>
              <w:t>规定了公司内外信息交流、协商的对象、方式、记录等。</w:t>
            </w:r>
          </w:p>
          <w:p>
            <w:pPr>
              <w:pStyle w:val="8"/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对部门之间有需要交流的有关环境管理信息，在公司内部利用部门会议、宣传栏进行管理方针及目标、指标、管理方案及环保法律法规等内容的宣传、沟通。</w:t>
            </w:r>
          </w:p>
          <w:p>
            <w:pPr>
              <w:pStyle w:val="8"/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部门</w:t>
            </w:r>
            <w:r>
              <w:rPr>
                <w:rFonts w:hint="eastAsia"/>
                <w:color w:val="auto"/>
                <w:kern w:val="2"/>
                <w:sz w:val="21"/>
                <w:szCs w:val="21"/>
              </w:rPr>
              <w:t>员工参与协商，员工提出参与环境知识的学习和培训，在日常服务例会中有通报公司近期环境工作及加强环境管理工作，员工做好自身和其他保护环境方面的工作要求。</w:t>
            </w:r>
          </w:p>
          <w:p>
            <w:pPr>
              <w:pStyle w:val="8"/>
              <w:spacing w:line="40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</w:rPr>
              <w:t>对外部当地</w:t>
            </w:r>
            <w:r>
              <w:rPr>
                <w:rFonts w:hint="eastAsia"/>
                <w:kern w:val="2"/>
                <w:sz w:val="21"/>
                <w:szCs w:val="21"/>
              </w:rPr>
              <w:t>政府、周边邻里、顾客，合格供应商等相关方进行了安全管理方针等方面的信息交流，主要通过网络、交流及公开信、合同等方式进行，并达成一致性意见实施有效控制。</w:t>
            </w:r>
          </w:p>
          <w:p>
            <w:pPr>
              <w:spacing w:line="4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查见内部交流主要通过直接面谈、会议、文件、培训方式，外部交流主要通过电话、信函方式。也可以通过工会等员工权益机构提出诉求。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查见：公司内部会议记录表，沟通信息包括：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1）告知员工：环境管理者代表是谭向兵。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2）告知员工：环境管理体系建立的依据、标准和意义，因公司未涉及危化品，故未对全体员工出具告知书；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3）组织员工学习：与环境管理有关的法律法规，包括《环境保护法》、《大气污染防治法》等关于员工权益、保险等内容；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4）将公司环境管理要求和意义作为新员工岗前培训内容。</w:t>
            </w:r>
          </w:p>
        </w:tc>
        <w:tc>
          <w:tcPr>
            <w:tcW w:w="99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上次不符合验证）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E8.1 </w:t>
            </w:r>
          </w:p>
        </w:tc>
        <w:tc>
          <w:tcPr>
            <w:tcW w:w="10592" w:type="dxa"/>
            <w:vAlign w:val="top"/>
          </w:tcPr>
          <w:p>
            <w:pPr>
              <w:spacing w:line="400" w:lineRule="atLeast"/>
              <w:ind w:firstLine="420" w:firstLineChars="200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查，研发部实施以下环境管理文件：</w:t>
            </w:r>
            <w:r>
              <w:rPr>
                <w:rFonts w:hint="eastAsia" w:ascii="宋体" w:hAnsi="宋体" w:cs="Arial"/>
                <w:iCs/>
                <w:sz w:val="21"/>
                <w:szCs w:val="21"/>
              </w:rPr>
              <w:t>《废弃物分类处理管理规定》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环境运行控制程序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现场查看，研发现场工序有：</w:t>
            </w:r>
            <w:r>
              <w:rPr>
                <w:rFonts w:hint="eastAsia" w:ascii="宋体" w:hAnsi="宋体"/>
                <w:sz w:val="21"/>
                <w:szCs w:val="21"/>
              </w:rPr>
              <w:t>研发和测试。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确定的重要环境因素：固废排放、潜在火灾，基本合理。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查固废管理，固废主要为研发过程中办公固废和废弃样品和部件等。一般办公固废集中放置，交由物业处理。样品和部件等电子废品集中交给物业，由物业交给园区集中处理。</w:t>
            </w:r>
          </w:p>
          <w:p>
            <w:pPr>
              <w:spacing w:line="400" w:lineRule="atLeast"/>
              <w:ind w:firstLine="422" w:firstLineChars="200"/>
              <w:rPr>
                <w:rFonts w:hint="eastAsia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样品制作间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，按要求进行固废分类收集处理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现场查看配置有带盖专用垃圾桶，垃圾桶上标识可回收垃圾，其它垃圾，废弃的口罩投放在办公区域设置的专用垃圾桶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上次不符合得到改善，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经本次审核验证均整改且无类似不符合情况出现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atLeast"/>
              <w:ind w:firstLine="210" w:firstLineChars="10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highlight w:val="none"/>
              </w:rPr>
              <w:t>询问研发部负责人，测试场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kern w:val="0"/>
                <w:sz w:val="21"/>
                <w:szCs w:val="21"/>
                <w:highlight w:val="none"/>
              </w:rPr>
              <w:t>所布置有灭火器，在日常巡查中对以上设施、要求有检查。火灾的预防通过应急准备和相应进行控制。</w:t>
            </w:r>
          </w:p>
        </w:tc>
        <w:tc>
          <w:tcPr>
            <w:tcW w:w="997" w:type="dxa"/>
          </w:tcPr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E8.2</w:t>
            </w:r>
          </w:p>
        </w:tc>
        <w:tc>
          <w:tcPr>
            <w:tcW w:w="10592" w:type="dxa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bidi="ar"/>
              </w:rPr>
              <w:t>查见：《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应急准备和响应程序</w:t>
            </w:r>
            <w:r>
              <w:rPr>
                <w:rFonts w:hint="eastAsia" w:cs="宋体"/>
                <w:sz w:val="21"/>
                <w:szCs w:val="21"/>
                <w:lang w:bidi="ar"/>
              </w:rPr>
              <w:t>》、《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消防与疏散演习实施方案</w:t>
            </w:r>
            <w:r>
              <w:rPr>
                <w:rFonts w:hint="eastAsia" w:cs="宋体"/>
                <w:sz w:val="21"/>
                <w:szCs w:val="21"/>
                <w:lang w:bidi="ar"/>
              </w:rPr>
              <w:t>》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bidi="ar"/>
              </w:rPr>
              <w:t>工作人员的在行政部组织下，参加了公司组织的“火灾消防知识培训”。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bidi="ar"/>
              </w:rPr>
              <w:t>查见：消防演练实况记录：研发部</w:t>
            </w:r>
            <w:r>
              <w:rPr>
                <w:rFonts w:hint="eastAsia" w:cs="宋体"/>
                <w:sz w:val="21"/>
                <w:szCs w:val="21"/>
                <w:highlight w:val="none"/>
                <w:lang w:bidi="ar"/>
              </w:rPr>
              <w:t>相关人员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参加了201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年9月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日在公司由行政部组织的消防演练。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查，现场对应，公司员工的安全逃生意识有明显的改善和较大提高。使员工掌握了安全逃生的方式和路径。同时使员工掌握了灭火器材的使用。消防器材完善、良好。</w:t>
            </w:r>
          </w:p>
        </w:tc>
        <w:tc>
          <w:tcPr>
            <w:tcW w:w="997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1B000"/>
    <w:multiLevelType w:val="singleLevel"/>
    <w:tmpl w:val="8181B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61008B"/>
    <w:multiLevelType w:val="singleLevel"/>
    <w:tmpl w:val="B26100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62C10"/>
    <w:rsid w:val="0C66539E"/>
    <w:rsid w:val="16B35ADA"/>
    <w:rsid w:val="181E0B20"/>
    <w:rsid w:val="1E567AA1"/>
    <w:rsid w:val="29B367D4"/>
    <w:rsid w:val="2C936990"/>
    <w:rsid w:val="34441C27"/>
    <w:rsid w:val="3D811CB7"/>
    <w:rsid w:val="41B17DB8"/>
    <w:rsid w:val="45583D32"/>
    <w:rsid w:val="465356B6"/>
    <w:rsid w:val="48096768"/>
    <w:rsid w:val="4CFB1FBE"/>
    <w:rsid w:val="4ED12E81"/>
    <w:rsid w:val="57CC6452"/>
    <w:rsid w:val="580967A3"/>
    <w:rsid w:val="62E407BE"/>
    <w:rsid w:val="64673F0C"/>
    <w:rsid w:val="6EB53C9E"/>
    <w:rsid w:val="6F135ABC"/>
    <w:rsid w:val="745F2D03"/>
    <w:rsid w:val="74BC2ABA"/>
    <w:rsid w:val="75C5431D"/>
    <w:rsid w:val="7A4D0615"/>
    <w:rsid w:val="7EBF4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line="300" w:lineRule="exact"/>
    </w:pPr>
    <w:rPr>
      <w:rFonts w:ascii="Times New Roman" w:hAnsi="Times New Roman" w:eastAsia="宋体" w:cs="Times New Roman"/>
      <w:sz w:val="24"/>
      <w:szCs w:val="20"/>
    </w:rPr>
  </w:style>
  <w:style w:type="paragraph" w:styleId="4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 w:cs="Times New Roman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cs="Times New Roman"/>
      <w:color w:val="000000"/>
      <w:kern w:val="0"/>
      <w:szCs w:val="24"/>
    </w:rPr>
  </w:style>
  <w:style w:type="table" w:styleId="10">
    <w:name w:val="Table Grid"/>
    <w:basedOn w:val="9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 w:val="21"/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2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2021-03-11T08:02:55Z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