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重庆合韵物业管理有限公司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杨佐锡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rPr>
                <w:rFonts w:hint="default" w:ascii="宋体" w:hAnsi="宋体" w:eastAsia="宋体" w:cs="宋体"/>
                <w:b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查《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中华人民共和国固体废物污染环境防治法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等法律法规未做到及时更新，不符合标准E/S6.1.3条款“组织应保持其合规义务的文件化信息”的要求。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6.1.3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1262380</wp:posOffset>
                  </wp:positionH>
                  <wp:positionV relativeFrom="paragraph">
                    <wp:posOffset>11430</wp:posOffset>
                  </wp:positionV>
                  <wp:extent cx="762000" cy="477520"/>
                  <wp:effectExtent l="0" t="0" r="0" b="1016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2894330</wp:posOffset>
                  </wp:positionH>
                  <wp:positionV relativeFrom="paragraph">
                    <wp:posOffset>68580</wp:posOffset>
                  </wp:positionV>
                  <wp:extent cx="762000" cy="477520"/>
                  <wp:effectExtent l="0" t="0" r="0" b="1016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68580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2021年3月9日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2021年3月9日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603DB"/>
    <w:rsid w:val="269400BE"/>
    <w:rsid w:val="4C8C16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2021-03-09T07:21:12Z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