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8"/>
        <w:gridCol w:w="125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重庆合韵物业管理有限公司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服务流程：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签订合同——确定物业管理服务区域——安排物业管理服务人员——分配物业管理区域——进行物业管理服务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服务过程风险：服务过程中触电、 中暑、物体打击、机械伤害等</w:t>
            </w:r>
          </w:p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外出服务时交通事故伤害等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控制措施：</w:t>
            </w:r>
            <w: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  <w:t>依据操作手册控制。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重要环境因素：潜在火灾、固体废弃物的排放。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控制措施：采取管理方案和应急处理方案控制。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不可接受风险：潜在火灾、意外伤害。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控制措施：采取管理方案和应急处理方案控制。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中华人民共和国劳动合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同法、中华人民共和国产品质量法、中华人民共和国安全生产法、《清洁条例》《物权法》、《重庆市物业管理条例》、《物业服务收费管理办法》、《商务楼宇物业管理服务规范》污水排入城镇下水道水质标准（GB/T 31962-2015）、大气污染物综合排放标准（GB 16297-1996）等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1233170</wp:posOffset>
            </wp:positionH>
            <wp:positionV relativeFrom="paragraph">
              <wp:posOffset>122555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4109720</wp:posOffset>
            </wp:positionH>
            <wp:positionV relativeFrom="paragraph">
              <wp:posOffset>138430</wp:posOffset>
            </wp:positionV>
            <wp:extent cx="757555" cy="419735"/>
            <wp:effectExtent l="0" t="0" r="4445" b="1206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2021年3月9日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2021年3月9日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186F0E"/>
    <w:rsid w:val="352E2886"/>
    <w:rsid w:val="45C7272D"/>
    <w:rsid w:val="56016ECC"/>
    <w:rsid w:val="6A0256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2021-03-09T06:38:47Z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