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重庆科华新型节能墙体材料有限公司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刘永红</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Q:16.02.01</w:t>
            </w:r>
          </w:p>
          <w:p>
            <w:pPr>
              <w:spacing w:line="240" w:lineRule="exact"/>
              <w:jc w:val="center"/>
              <w:rPr>
                <w:b/>
                <w:color w:val="000000" w:themeColor="text1"/>
                <w:sz w:val="20"/>
                <w:szCs w:val="20"/>
              </w:rPr>
            </w:pPr>
            <w:r>
              <w:rPr>
                <w:b/>
                <w:color w:val="000000" w:themeColor="text1"/>
                <w:sz w:val="20"/>
                <w:szCs w:val="20"/>
              </w:rPr>
              <w:t>E:16.02.01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重庆科华新型节能墙体材料有限公司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重庆市江津区珞璜镇机电路7号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重庆市江津区珞璜镇机电路7号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18996034954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绍春洪</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t>绍春洪</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刘梅</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Q：蒸压加气混凝土砌块、蒸压加气混凝土板材的生产（法规强制要求范围除外）</w:t>
            </w:r>
          </w:p>
          <w:p>
            <w:pPr>
              <w:spacing w:line="320" w:lineRule="exact"/>
              <w:rPr>
                <w:rFonts w:ascii="宋体" w:hAnsi="宋体"/>
                <w:b/>
                <w:color w:val="000000" w:themeColor="text1"/>
                <w:sz w:val="20"/>
                <w:szCs w:val="20"/>
              </w:rPr>
            </w:pPr>
            <w:r>
              <w:rPr>
                <w:rFonts w:ascii="宋体" w:hAnsi="宋体"/>
                <w:b/>
                <w:color w:val="000000" w:themeColor="text1"/>
                <w:sz w:val="20"/>
                <w:szCs w:val="20"/>
              </w:rPr>
              <w:t>E：蒸压加气混凝土砌块、蒸压加气混凝土板材的生产（法规强制要求范围除外）及其场所涉及的相关环境管理活动。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Q：16.02.01</w:t>
            </w:r>
          </w:p>
          <w:p>
            <w:pPr>
              <w:spacing w:line="320" w:lineRule="exact"/>
              <w:rPr>
                <w:rFonts w:ascii="宋体" w:hAnsi="宋体"/>
                <w:b/>
                <w:color w:val="000000" w:themeColor="text1"/>
                <w:sz w:val="20"/>
                <w:szCs w:val="20"/>
              </w:rPr>
            </w:pPr>
            <w:r>
              <w:rPr>
                <w:rFonts w:ascii="宋体" w:hAnsi="宋体"/>
                <w:b/>
                <w:color w:val="000000" w:themeColor="text1"/>
                <w:sz w:val="20"/>
                <w:szCs w:val="20"/>
              </w:rPr>
              <w:t>E：16.02.01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行政</w:t>
            </w:r>
            <w:r>
              <w:rPr>
                <w:rFonts w:hint="eastAsia" w:ascii="宋体" w:hAnsi="宋体"/>
                <w:b/>
                <w:color w:val="000000" w:themeColor="text1"/>
                <w:sz w:val="20"/>
                <w:szCs w:val="20"/>
              </w:rPr>
              <w:t>部（含财务部）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产品研发；不合格品控制；纠正和预防措施控制；策划管理；过程监控管理；产品验收管理；监视和测量设备管理；服务过程管理；设备设施管理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供销部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合同管理；客户管理；采购管理；供方管理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蒸压加气混凝土砌块、蒸压加气混凝土板材的生产（法规强制要求范围除外）</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szCs w:val="21"/>
              </w:rPr>
            </w:pPr>
            <w:r>
              <w:rPr>
                <w:color w:val="auto"/>
                <w:highlight w:val="none"/>
              </w:rPr>
              <w:fldChar w:fldCharType="begin"/>
            </w:r>
            <w:r>
              <w:rPr>
                <w:color w:val="auto"/>
                <w:highlight w:val="none"/>
              </w:rPr>
              <w:instrText xml:space="preserve"> HYPERLINK "http://www.baidu.com/link?url=NXhK1PXdPWH_omKCLsuRR8HZAHSxwat2wR3tuNHDdBbUumiVQvxox2Ct93gWUw8o" \t "https://www.baidu.com/_blank" </w:instrText>
            </w:r>
            <w:r>
              <w:rPr>
                <w:color w:val="auto"/>
                <w:highlight w:val="none"/>
              </w:rPr>
              <w:fldChar w:fldCharType="separate"/>
            </w:r>
            <w:r>
              <w:rPr>
                <w:rFonts w:hint="eastAsia" w:asciiTheme="minorEastAsia" w:hAnsiTheme="minorEastAsia" w:eastAsiaTheme="minorEastAsia" w:cstheme="minorEastAsia"/>
                <w:bCs/>
                <w:color w:val="auto"/>
                <w:szCs w:val="21"/>
                <w:highlight w:val="none"/>
                <w:shd w:val="clear" w:color="auto" w:fill="FFFFFF"/>
              </w:rPr>
              <w:t>蒸压加气混凝土砌块 GB/T11968-2006</w:t>
            </w:r>
            <w:r>
              <w:rPr>
                <w:rFonts w:hint="eastAsia" w:asciiTheme="minorEastAsia" w:hAnsiTheme="minorEastAsia" w:eastAsiaTheme="minorEastAsia" w:cstheme="minorEastAsia"/>
                <w:bCs/>
                <w:color w:val="auto"/>
                <w:szCs w:val="21"/>
                <w:highlight w:val="none"/>
                <w:shd w:val="clear" w:color="auto" w:fill="FFFFFF"/>
              </w:rPr>
              <w:fldChar w:fldCharType="end"/>
            </w:r>
            <w:r>
              <w:rPr>
                <w:rFonts w:hint="eastAsia" w:asciiTheme="minorEastAsia" w:hAnsiTheme="minorEastAsia" w:eastAsiaTheme="minorEastAsia" w:cstheme="minorEastAsia"/>
                <w:bCs/>
                <w:color w:val="auto"/>
                <w:szCs w:val="21"/>
                <w:highlight w:val="none"/>
                <w:shd w:val="clear" w:color="auto" w:fill="FFFFFF"/>
                <w:lang w:eastAsia="zh-CN"/>
              </w:rPr>
              <w:t>、</w:t>
            </w:r>
            <w:r>
              <w:rPr>
                <w:rFonts w:hint="eastAsia" w:asciiTheme="minorEastAsia" w:hAnsiTheme="minorEastAsia" w:eastAsiaTheme="minorEastAsia" w:cstheme="minorEastAsia"/>
                <w:bCs/>
                <w:color w:val="auto"/>
                <w:szCs w:val="21"/>
                <w:highlight w:val="none"/>
                <w:shd w:val="clear" w:color="auto" w:fill="FFFFFF"/>
                <w:lang w:val="en-US" w:eastAsia="zh-CN"/>
              </w:rPr>
              <w:t>蒸压加气混凝土板 GB15762-2008及客户要求</w:t>
            </w:r>
            <w:r>
              <w:rPr>
                <w:rFonts w:hint="eastAsia"/>
                <w:szCs w:val="21"/>
                <w:highlight w:val="none"/>
              </w:rPr>
              <w:t>和合</w:t>
            </w:r>
            <w:r>
              <w:rPr>
                <w:rFonts w:hint="eastAsia"/>
                <w:szCs w:val="21"/>
              </w:rPr>
              <w:t>同协议等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年</w:t>
      </w:r>
      <w:r>
        <w:rPr>
          <w:rFonts w:hint="eastAsia"/>
          <w:b/>
          <w:color w:val="000000" w:themeColor="text1"/>
          <w:spacing w:val="-10"/>
          <w:szCs w:val="21"/>
          <w:u w:val="single"/>
          <w:lang w:val="en-US" w:eastAsia="zh-CN"/>
        </w:rPr>
        <w:t>9</w:t>
      </w:r>
      <w:r>
        <w:rPr>
          <w:rFonts w:hint="eastAsia"/>
          <w:b/>
          <w:color w:val="000000" w:themeColor="text1"/>
          <w:spacing w:val="-10"/>
          <w:szCs w:val="21"/>
          <w:u w:val="single"/>
        </w:rPr>
        <w:t>月</w:t>
      </w:r>
      <w:bookmarkStart w:id="20" w:name="OLE_LINK1"/>
      <w:r>
        <w:rPr>
          <w:rFonts w:hint="eastAsia"/>
          <w:b/>
          <w:color w:val="000000" w:themeColor="text1"/>
          <w:spacing w:val="-10"/>
          <w:szCs w:val="21"/>
          <w:u w:val="single"/>
          <w:lang w:val="en-US" w:eastAsia="zh-CN"/>
        </w:rPr>
        <w:t>1</w:t>
      </w:r>
      <w:r>
        <w:rPr>
          <w:rFonts w:hint="eastAsia"/>
          <w:b/>
          <w:color w:val="000000" w:themeColor="text1"/>
          <w:spacing w:val="-10"/>
          <w:szCs w:val="21"/>
          <w:u w:val="single"/>
        </w:rPr>
        <w:t>日</w:t>
      </w:r>
      <w:bookmarkEnd w:id="20"/>
      <w:r>
        <w:rPr>
          <w:rFonts w:hint="eastAsia"/>
          <w:b/>
          <w:color w:val="000000" w:themeColor="text1"/>
          <w:spacing w:val="-10"/>
          <w:szCs w:val="21"/>
          <w:u w:val="single"/>
        </w:rPr>
        <w:t>至</w:t>
      </w:r>
      <w:r>
        <w:rPr>
          <w:rFonts w:hint="eastAsia"/>
          <w:b/>
          <w:color w:val="000000" w:themeColor="text1"/>
          <w:spacing w:val="-10"/>
          <w:szCs w:val="21"/>
          <w:u w:val="single"/>
          <w:lang w:val="en-US" w:eastAsia="zh-CN"/>
        </w:rPr>
        <w:t>2021</w:t>
      </w:r>
      <w:r>
        <w:rPr>
          <w:rFonts w:hint="eastAsia"/>
          <w:b/>
          <w:color w:val="000000" w:themeColor="text1"/>
          <w:spacing w:val="-10"/>
          <w:szCs w:val="21"/>
          <w:u w:val="single"/>
        </w:rPr>
        <w:t>年</w:t>
      </w:r>
      <w:r>
        <w:rPr>
          <w:rFonts w:hint="eastAsia"/>
          <w:b/>
          <w:color w:val="000000" w:themeColor="text1"/>
          <w:spacing w:val="-10"/>
          <w:szCs w:val="21"/>
          <w:u w:val="single"/>
          <w:lang w:val="en-US" w:eastAsia="zh-CN"/>
        </w:rPr>
        <w:t>3</w:t>
      </w:r>
      <w:r>
        <w:rPr>
          <w:rFonts w:hint="eastAsia"/>
          <w:b/>
          <w:color w:val="000000" w:themeColor="text1"/>
          <w:spacing w:val="-10"/>
          <w:szCs w:val="21"/>
          <w:u w:val="single"/>
        </w:rPr>
        <w:t>月</w:t>
      </w:r>
      <w:r>
        <w:rPr>
          <w:rFonts w:hint="eastAsia"/>
          <w:b/>
          <w:color w:val="000000" w:themeColor="text1"/>
          <w:spacing w:val="-10"/>
          <w:szCs w:val="21"/>
          <w:u w:val="single"/>
          <w:lang w:val="en-US" w:eastAsia="zh-CN"/>
        </w:rPr>
        <w:t>4</w:t>
      </w:r>
      <w:r>
        <w:rPr>
          <w:rFonts w:hint="eastAsia"/>
          <w:b/>
          <w:color w:val="000000" w:themeColor="text1"/>
          <w:spacing w:val="-10"/>
          <w:szCs w:val="21"/>
          <w:u w:val="single"/>
        </w:rPr>
        <w:t>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组织对内外部因素、相关方需求和期望进行了充分的识别，策划和实施有效。组织确定了体系的边界，基本适用。质量管理体系</w:t>
            </w:r>
            <w:r>
              <w:rPr>
                <w:rFonts w:hint="eastAsia" w:ascii="宋体" w:hAnsi="宋体"/>
                <w:szCs w:val="21"/>
              </w:rPr>
              <w:t>Q8.3条款不适用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ascii="宋体" w:hAnsi="宋体"/>
                <w:szCs w:val="21"/>
              </w:rPr>
            </w:pPr>
            <w:r>
              <w:rPr>
                <w:rFonts w:hint="eastAsia" w:ascii="宋体" w:hAnsi="宋体"/>
                <w:szCs w:val="21"/>
              </w:rPr>
              <w:t>质量</w:t>
            </w:r>
            <w:r>
              <w:rPr>
                <w:rFonts w:hint="eastAsia" w:ascii="宋体" w:hAnsi="宋体"/>
                <w:szCs w:val="21"/>
                <w:lang w:eastAsia="zh-CN"/>
              </w:rPr>
              <w:t>、</w:t>
            </w:r>
            <w:r>
              <w:rPr>
                <w:rFonts w:hint="eastAsia" w:ascii="宋体" w:hAnsi="宋体"/>
                <w:szCs w:val="21"/>
                <w:lang w:val="en-US" w:eastAsia="zh-CN"/>
              </w:rPr>
              <w:t>环境</w:t>
            </w:r>
            <w:r>
              <w:rPr>
                <w:rFonts w:hint="eastAsia" w:ascii="宋体" w:hAnsi="宋体"/>
                <w:szCs w:val="21"/>
              </w:rPr>
              <w:t xml:space="preserve">方针： </w:t>
            </w:r>
          </w:p>
          <w:p>
            <w:pPr>
              <w:spacing w:line="360" w:lineRule="auto"/>
              <w:ind w:firstLine="420" w:firstLineChars="200"/>
              <w:jc w:val="left"/>
              <w:rPr>
                <w:b/>
                <w:color w:val="000000" w:themeColor="text1"/>
              </w:rPr>
            </w:pPr>
            <w:r>
              <w:rPr>
                <w:rFonts w:hint="eastAsia"/>
                <w:szCs w:val="21"/>
              </w:rPr>
              <w:t>“</w:t>
            </w:r>
            <w:r>
              <w:rPr>
                <w:rFonts w:hint="eastAsia" w:ascii="宋体" w:hAnsi="宋体"/>
                <w:szCs w:val="21"/>
                <w:lang w:val="en-US" w:eastAsia="zh-CN"/>
              </w:rPr>
              <w:t>突出过程管理、科学诚信服务、追求客户满意、创造优质业绩。遵纪守法，预防污染，节能降耗，健康安全</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质量管理体系过程有：合同评审、采购、生产、检验、销售过程等。</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其中关键过程有：蒸养过程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需要确认过程：蒸养过程 </w:t>
            </w:r>
          </w:p>
          <w:p>
            <w:pPr>
              <w:tabs>
                <w:tab w:val="left" w:pos="1080"/>
              </w:tabs>
              <w:spacing w:line="400" w:lineRule="exact"/>
              <w:rPr>
                <w:rFonts w:ascii="宋体" w:hAnsi="宋体"/>
                <w:szCs w:val="21"/>
                <w:u w:val="single"/>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u w:val="single"/>
              </w:rPr>
              <w:t xml:space="preserve">8.3  </w:t>
            </w:r>
            <w:r>
              <w:rPr>
                <w:rFonts w:hint="eastAsia" w:ascii="宋体" w:hAnsi="宋体"/>
                <w:b/>
                <w:color w:val="000000" w:themeColor="text1"/>
                <w:sz w:val="20"/>
                <w:szCs w:val="20"/>
              </w:rPr>
              <w:t xml:space="preserve"> ，不适用理由：</w:t>
            </w:r>
            <w:r>
              <w:rPr>
                <w:rFonts w:hint="eastAsia" w:ascii="Times New Roman" w:hAnsi="Times New Roman" w:cs="Times New Roman"/>
                <w:color w:val="000000"/>
                <w:szCs w:val="22"/>
                <w:u w:val="single"/>
                <w:lang w:eastAsia="zh-CN"/>
              </w:rPr>
              <w:t>因公司生产的产品为传统产品，公司有成熟的生产工艺和完善的接收准则，公司不存在设计开发过程。故标准中8.3条款不适用</w:t>
            </w:r>
          </w:p>
          <w:p>
            <w:pPr>
              <w:tabs>
                <w:tab w:val="left" w:pos="540"/>
                <w:tab w:val="right" w:pos="8781"/>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lang w:val="en-US" w:eastAsia="zh-CN"/>
              </w:rPr>
              <w:t>噪声、废气、废水、固废</w:t>
            </w:r>
            <w:r>
              <w:rPr>
                <w:rFonts w:hint="eastAsia" w:asciiTheme="minorEastAsia" w:hAnsiTheme="minorEastAsia" w:eastAsiaTheme="minorEastAsia"/>
                <w:bCs/>
                <w:iCs/>
              </w:rPr>
              <w:t>排放的控制、潜在火灾的应急预案等。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hint="eastAsia" w:ascii="宋体" w:hAnsi="宋体" w:eastAsia="宋体"/>
                <w:b/>
                <w:color w:val="000000" w:themeColor="text1"/>
                <w:spacing w:val="-8"/>
                <w:sz w:val="20"/>
                <w:szCs w:val="20"/>
                <w:lang w:eastAsia="zh-CN"/>
              </w:rPr>
            </w:pP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ascii="宋体" w:hAnsi="宋体" w:cs="宋体"/>
                <w:color w:val="000000"/>
                <w:kern w:val="0"/>
                <w:szCs w:val="21"/>
              </w:rPr>
            </w:pPr>
            <w:r>
              <w:rPr>
                <w:rFonts w:hint="eastAsia" w:ascii="宋体" w:hAnsi="宋体" w:cs="宋体"/>
                <w:color w:val="000000"/>
                <w:kern w:val="0"/>
                <w:szCs w:val="21"/>
              </w:rPr>
              <w:t xml:space="preserve">管理目标、指标的实现情况：   </w:t>
            </w:r>
            <w:r>
              <w:rPr>
                <w:rFonts w:hint="eastAsia" w:ascii="宋体" w:hAnsi="宋体" w:cs="宋体"/>
                <w:color w:val="auto"/>
                <w:kern w:val="0"/>
                <w:szCs w:val="21"/>
              </w:rPr>
              <w:t>（考核时间：2020年</w:t>
            </w:r>
            <w:r>
              <w:rPr>
                <w:rFonts w:hint="eastAsia" w:ascii="宋体" w:hAnsi="宋体" w:cs="宋体"/>
                <w:color w:val="auto"/>
                <w:kern w:val="0"/>
                <w:szCs w:val="21"/>
                <w:lang w:val="en-US" w:eastAsia="zh-CN"/>
              </w:rPr>
              <w:t>9</w:t>
            </w:r>
            <w:r>
              <w:rPr>
                <w:rFonts w:hint="eastAsia" w:ascii="宋体" w:hAnsi="宋体" w:cs="宋体"/>
                <w:color w:val="auto"/>
                <w:kern w:val="0"/>
                <w:szCs w:val="21"/>
              </w:rPr>
              <w:t>月-202</w:t>
            </w:r>
            <w:r>
              <w:rPr>
                <w:rFonts w:hint="eastAsia" w:ascii="宋体" w:hAnsi="宋体" w:cs="宋体"/>
                <w:color w:val="auto"/>
                <w:kern w:val="0"/>
                <w:szCs w:val="21"/>
                <w:lang w:val="en-US" w:eastAsia="zh-CN"/>
              </w:rPr>
              <w:t>1</w:t>
            </w:r>
            <w:r>
              <w:rPr>
                <w:rFonts w:hint="eastAsia" w:ascii="宋体" w:hAnsi="宋体" w:cs="宋体"/>
                <w:color w:val="auto"/>
                <w:kern w:val="0"/>
                <w:szCs w:val="21"/>
              </w:rPr>
              <w:t>年</w:t>
            </w:r>
            <w:r>
              <w:rPr>
                <w:rFonts w:hint="eastAsia" w:ascii="宋体" w:hAnsi="宋体" w:cs="宋体"/>
                <w:color w:val="auto"/>
                <w:kern w:val="0"/>
                <w:szCs w:val="21"/>
                <w:lang w:val="en-US" w:eastAsia="zh-CN"/>
              </w:rPr>
              <w:t>2</w:t>
            </w:r>
            <w:r>
              <w:rPr>
                <w:rFonts w:hint="eastAsia" w:ascii="宋体" w:hAnsi="宋体" w:cs="宋体"/>
                <w:color w:val="auto"/>
                <w:kern w:val="0"/>
                <w:szCs w:val="21"/>
              </w:rPr>
              <w:t>月）</w:t>
            </w:r>
          </w:p>
          <w:p>
            <w:pPr>
              <w:spacing w:line="360" w:lineRule="auto"/>
              <w:ind w:firstLine="420" w:firstLineChars="200"/>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质量</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环境</w:t>
            </w:r>
            <w:r>
              <w:rPr>
                <w:rFonts w:hint="eastAsia" w:asciiTheme="minorEastAsia" w:hAnsiTheme="minorEastAsia" w:eastAsiaTheme="minorEastAsia" w:cstheme="minorEastAsia"/>
                <w:szCs w:val="21"/>
              </w:rPr>
              <w:t xml:space="preserve">目标 </w:t>
            </w:r>
          </w:p>
          <w:p>
            <w:pPr>
              <w:numPr>
                <w:ilvl w:val="0"/>
                <w:numId w:val="3"/>
              </w:numPr>
              <w:spacing w:line="360" w:lineRule="auto"/>
              <w:ind w:left="425" w:leftChars="0" w:hanging="425" w:firstLineChars="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顾客满意度≥90%。               </w:t>
            </w:r>
            <w:r>
              <w:rPr>
                <w:rFonts w:hint="eastAsia" w:asciiTheme="minorEastAsia" w:hAnsiTheme="minorEastAsia" w:eastAsiaTheme="minorEastAsia" w:cstheme="minorEastAsia"/>
                <w:color w:val="auto"/>
                <w:szCs w:val="21"/>
                <w:lang w:val="en-US" w:eastAsia="zh-CN"/>
              </w:rPr>
              <w:t xml:space="preserve">   实测：93.3%</w:t>
            </w:r>
            <w:r>
              <w:rPr>
                <w:rFonts w:hint="eastAsia" w:asciiTheme="minorEastAsia" w:hAnsiTheme="minorEastAsia" w:eastAsiaTheme="minorEastAsia" w:cstheme="minorEastAsia"/>
                <w:color w:val="auto"/>
                <w:szCs w:val="21"/>
                <w:lang w:eastAsia="zh-CN"/>
              </w:rPr>
              <w:t xml:space="preserve"> </w:t>
            </w:r>
          </w:p>
          <w:p>
            <w:pPr>
              <w:numPr>
                <w:ilvl w:val="0"/>
                <w:numId w:val="3"/>
              </w:numPr>
              <w:spacing w:line="360" w:lineRule="auto"/>
              <w:ind w:left="425" w:leftChars="0" w:hanging="425" w:firstLineChars="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产品一次验收合格率≥98%</w:t>
            </w:r>
            <w:r>
              <w:rPr>
                <w:rFonts w:hint="eastAsia" w:asciiTheme="minorEastAsia" w:hAnsiTheme="minorEastAsia" w:eastAsiaTheme="minorEastAsia" w:cstheme="minorEastAsia"/>
                <w:color w:val="auto"/>
                <w:szCs w:val="21"/>
                <w:lang w:val="en-US" w:eastAsia="zh-CN"/>
              </w:rPr>
              <w:t xml:space="preserve">            实测：99%</w:t>
            </w:r>
          </w:p>
          <w:p>
            <w:pPr>
              <w:numPr>
                <w:ilvl w:val="0"/>
                <w:numId w:val="3"/>
              </w:numPr>
              <w:spacing w:line="360" w:lineRule="auto"/>
              <w:ind w:left="425" w:leftChars="0" w:hanging="425" w:firstLineChars="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工作任务完成及时率≥98%。 </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lang w:eastAsia="zh-CN"/>
              </w:rPr>
              <w:t xml:space="preserve"> </w:t>
            </w:r>
            <w:r>
              <w:rPr>
                <w:rFonts w:hint="eastAsia" w:asciiTheme="minorEastAsia" w:hAnsiTheme="minorEastAsia" w:eastAsiaTheme="minorEastAsia" w:cstheme="minorEastAsia"/>
                <w:color w:val="auto"/>
                <w:szCs w:val="21"/>
                <w:lang w:val="en-US" w:eastAsia="zh-CN"/>
              </w:rPr>
              <w:t>实测：99%</w:t>
            </w:r>
            <w:r>
              <w:rPr>
                <w:rFonts w:hint="eastAsia" w:asciiTheme="minorEastAsia" w:hAnsiTheme="minorEastAsia" w:eastAsiaTheme="minorEastAsia" w:cstheme="minorEastAsia"/>
                <w:color w:val="auto"/>
                <w:szCs w:val="21"/>
                <w:lang w:eastAsia="zh-CN"/>
              </w:rPr>
              <w:t xml:space="preserve">     </w:t>
            </w:r>
          </w:p>
          <w:p>
            <w:pPr>
              <w:numPr>
                <w:ilvl w:val="0"/>
                <w:numId w:val="3"/>
              </w:numPr>
              <w:spacing w:line="360" w:lineRule="auto"/>
              <w:ind w:left="425" w:leftChars="0" w:hanging="425" w:firstLineChars="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垃圾分类处理率100%</w:t>
            </w:r>
            <w:r>
              <w:rPr>
                <w:rFonts w:hint="eastAsia" w:asciiTheme="minorEastAsia" w:hAnsiTheme="minorEastAsia" w:eastAsiaTheme="minorEastAsia" w:cstheme="minorEastAsia"/>
                <w:color w:val="auto"/>
                <w:szCs w:val="21"/>
                <w:lang w:val="en-US" w:eastAsia="zh-CN"/>
              </w:rPr>
              <w:t xml:space="preserve">                 实测：100%</w:t>
            </w:r>
          </w:p>
          <w:p>
            <w:pPr>
              <w:numPr>
                <w:ilvl w:val="0"/>
                <w:numId w:val="3"/>
              </w:numPr>
              <w:spacing w:line="360" w:lineRule="auto"/>
              <w:ind w:left="425" w:leftChars="0" w:hanging="425" w:firstLineChars="0"/>
              <w:jc w:val="left"/>
              <w:rPr>
                <w:rFonts w:ascii="宋体" w:hAnsi="宋体"/>
                <w:b/>
                <w:color w:val="000000" w:themeColor="text1"/>
              </w:rPr>
            </w:pPr>
            <w:r>
              <w:rPr>
                <w:rFonts w:hint="eastAsia" w:asciiTheme="minorEastAsia" w:hAnsiTheme="minorEastAsia" w:eastAsiaTheme="minorEastAsia" w:cstheme="minorEastAsia"/>
                <w:color w:val="auto"/>
                <w:szCs w:val="21"/>
                <w:lang w:eastAsia="zh-CN"/>
              </w:rPr>
              <w:t xml:space="preserve">火灾事故为0  </w:t>
            </w:r>
            <w:r>
              <w:rPr>
                <w:rFonts w:hint="eastAsia" w:asciiTheme="minorEastAsia" w:hAnsiTheme="minorEastAsia" w:eastAsiaTheme="minorEastAsia" w:cstheme="minorEastAsia"/>
                <w:color w:val="auto"/>
                <w:szCs w:val="21"/>
                <w:lang w:val="en-US" w:eastAsia="zh-CN"/>
              </w:rPr>
              <w:t xml:space="preserve">                      实测：零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w:t>
            </w:r>
            <w:r>
              <w:rPr>
                <w:rFonts w:hint="eastAsia" w:ascii="宋体" w:hAnsi="宋体" w:cs="宋体"/>
                <w:color w:val="000000" w:themeColor="text1"/>
                <w:lang w:val="en-US" w:eastAsia="zh-CN"/>
              </w:rPr>
              <w:t>09</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蒸压加气混凝土砌块、蒸压加气混凝土板材的生产（法规强制要求范围除外）</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Cs w:val="21"/>
              </w:rPr>
              <w:t>公司拥有生产车</w:t>
            </w:r>
            <w:r>
              <w:rPr>
                <w:rFonts w:hint="eastAsia" w:ascii="宋体" w:hAnsi="宋体"/>
                <w:color w:val="auto"/>
                <w:szCs w:val="21"/>
              </w:rPr>
              <w:t>间面积近</w:t>
            </w:r>
            <w:r>
              <w:rPr>
                <w:rFonts w:hint="eastAsia" w:ascii="宋体" w:hAnsi="宋体"/>
                <w:color w:val="auto"/>
                <w:szCs w:val="21"/>
                <w:lang w:val="en-US" w:eastAsia="zh-CN"/>
              </w:rPr>
              <w:t>150</w:t>
            </w:r>
            <w:bookmarkStart w:id="22" w:name="_GoBack"/>
            <w:bookmarkEnd w:id="22"/>
            <w:r>
              <w:rPr>
                <w:rFonts w:hint="eastAsia" w:ascii="宋体" w:hAnsi="宋体"/>
                <w:color w:val="auto"/>
                <w:szCs w:val="21"/>
              </w:rPr>
              <w:t>00平方米，办公面积</w:t>
            </w:r>
            <w:r>
              <w:rPr>
                <w:rFonts w:hint="eastAsia" w:ascii="宋体" w:hAnsi="宋体"/>
                <w:color w:val="auto"/>
                <w:szCs w:val="21"/>
                <w:lang w:val="en-US" w:eastAsia="zh-CN"/>
              </w:rPr>
              <w:t>30</w:t>
            </w:r>
            <w:r>
              <w:rPr>
                <w:rFonts w:hint="eastAsia" w:ascii="宋体" w:hAnsi="宋体"/>
                <w:color w:val="auto"/>
                <w:szCs w:val="21"/>
              </w:rPr>
              <w:t>0平方米</w:t>
            </w:r>
            <w:r>
              <w:rPr>
                <w:rFonts w:hint="eastAsia" w:ascii="宋体" w:hAnsi="宋体" w:cs="宋体"/>
                <w:color w:val="auto"/>
                <w:szCs w:val="21"/>
              </w:rPr>
              <w:t>，</w:t>
            </w:r>
            <w:r>
              <w:rPr>
                <w:rFonts w:hint="eastAsia" w:ascii="宋体" w:hAnsi="宋体"/>
                <w:color w:val="auto"/>
                <w:szCs w:val="21"/>
              </w:rPr>
              <w:t>主要设备为</w:t>
            </w:r>
            <w:r>
              <w:rPr>
                <w:rFonts w:hint="eastAsia" w:ascii="宋体" w:hAnsi="宋体" w:cs="宋体"/>
                <w:color w:val="auto"/>
                <w:szCs w:val="21"/>
              </w:rPr>
              <w:t>搅拌罐</w:t>
            </w:r>
            <w:r>
              <w:rPr>
                <w:rFonts w:hint="eastAsia" w:ascii="宋体" w:hAnsi="宋体" w:cs="宋体"/>
                <w:color w:val="auto"/>
                <w:szCs w:val="21"/>
                <w:lang w:eastAsia="zh-CN"/>
              </w:rPr>
              <w:t>、</w:t>
            </w:r>
            <w:r>
              <w:rPr>
                <w:rFonts w:hint="eastAsia" w:ascii="宋体" w:hAnsi="宋体" w:cs="宋体"/>
                <w:color w:val="auto"/>
                <w:szCs w:val="21"/>
              </w:rPr>
              <w:t>锅炉、蒸压釜、并坯机、切割机、</w:t>
            </w:r>
            <w:r>
              <w:rPr>
                <w:rFonts w:hint="eastAsia" w:ascii="宋体" w:hAnsi="宋体" w:cs="宋体"/>
                <w:color w:val="auto"/>
                <w:szCs w:val="21"/>
                <w:lang w:val="en-US" w:eastAsia="zh-CN"/>
              </w:rPr>
              <w:t>破碎机、</w:t>
            </w:r>
            <w:r>
              <w:rPr>
                <w:rFonts w:hint="eastAsia" w:ascii="宋体" w:hAnsi="宋体" w:cs="宋体"/>
                <w:color w:val="auto"/>
                <w:szCs w:val="21"/>
              </w:rPr>
              <w:t>模具、行车、叉车</w:t>
            </w:r>
            <w:r>
              <w:rPr>
                <w:rFonts w:hint="eastAsia" w:ascii="宋体" w:hAnsi="宋体" w:cs="宋体"/>
                <w:color w:val="auto"/>
                <w:szCs w:val="21"/>
                <w:lang w:eastAsia="zh-CN"/>
              </w:rPr>
              <w:t>、</w:t>
            </w:r>
            <w:r>
              <w:rPr>
                <w:rFonts w:hint="eastAsia" w:ascii="宋体" w:hAnsi="宋体" w:cs="宋体"/>
                <w:color w:val="auto"/>
                <w:szCs w:val="21"/>
              </w:rPr>
              <w:t>电脑及办公设备等</w:t>
            </w:r>
            <w:r>
              <w:rPr>
                <w:rStyle w:val="17"/>
                <w:rFonts w:hint="eastAsia" w:ascii="宋体" w:hAnsi="宋体"/>
                <w:color w:val="auto"/>
                <w:szCs w:val="21"/>
              </w:rPr>
              <w:t>。</w:t>
            </w:r>
            <w:r>
              <w:rPr>
                <w:rFonts w:hint="eastAsia" w:ascii="宋体" w:hAnsi="宋体" w:cs="宋体"/>
                <w:color w:val="auto"/>
                <w:szCs w:val="21"/>
              </w:rPr>
              <w:t>可以满足</w:t>
            </w:r>
            <w:r>
              <w:rPr>
                <w:rFonts w:hint="eastAsia" w:ascii="宋体" w:hAnsi="宋体"/>
                <w:color w:val="auto"/>
                <w:szCs w:val="21"/>
                <w:lang w:eastAsia="zh-CN"/>
              </w:rPr>
              <w:t>蒸压加气混凝土砌块、蒸压加气混凝土板材的生产（法规强制要求范围除外）</w:t>
            </w:r>
            <w:r>
              <w:rPr>
                <w:rFonts w:hint="eastAsia" w:ascii="宋体" w:hAnsi="宋体" w:cs="宋体"/>
                <w:color w:val="auto"/>
                <w:szCs w:val="21"/>
              </w:rPr>
              <w:t>需要。特种设备：</w:t>
            </w:r>
            <w:r>
              <w:rPr>
                <w:rFonts w:hint="eastAsia" w:ascii="宋体" w:hAnsi="宋体" w:cs="宋体"/>
                <w:color w:val="auto"/>
                <w:kern w:val="0"/>
                <w:szCs w:val="21"/>
              </w:rPr>
              <w:t>锅炉、压力容器、叉车、行车</w:t>
            </w:r>
            <w:r>
              <w:rPr>
                <w:rFonts w:hint="eastAsia" w:ascii="宋体" w:hAnsi="宋体" w:cs="宋体"/>
                <w:color w:val="auto"/>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办公场所设备布置合理，通道畅通，照明设施齐全，均配备了消防设施等设施。办公室明亮，作业场所光线较充足。每月由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ascii="宋体" w:hAnsi="宋体"/>
                <w:b/>
                <w:color w:val="000000" w:themeColor="text1"/>
                <w:sz w:val="20"/>
                <w:szCs w:val="20"/>
              </w:rPr>
            </w:pPr>
            <w:r>
              <w:rPr>
                <w:rFonts w:hint="eastAsia"/>
              </w:rPr>
              <w:t>配备有</w:t>
            </w:r>
            <w:r>
              <w:rPr>
                <w:rFonts w:hint="eastAsia" w:ascii="新宋体" w:hAnsi="新宋体" w:eastAsia="新宋体" w:cs="新宋体"/>
                <w:color w:val="auto"/>
                <w:lang w:eastAsia="zh-CN"/>
              </w:rPr>
              <w:t>压力</w:t>
            </w:r>
            <w:r>
              <w:rPr>
                <w:rFonts w:hint="eastAsia" w:ascii="新宋体" w:hAnsi="新宋体" w:eastAsia="新宋体" w:cs="新宋体"/>
                <w:color w:val="auto"/>
                <w:lang w:val="en-US" w:eastAsia="zh-CN"/>
              </w:rPr>
              <w:t>实验机</w:t>
            </w:r>
            <w:r>
              <w:rPr>
                <w:rFonts w:hint="eastAsia" w:ascii="宋体" w:hAnsi="宋体" w:cs="宋体"/>
                <w:color w:val="auto"/>
                <w:szCs w:val="21"/>
              </w:rPr>
              <w:t>、电子</w:t>
            </w:r>
            <w:r>
              <w:rPr>
                <w:rFonts w:hint="eastAsia" w:ascii="宋体" w:hAnsi="宋体" w:cs="宋体"/>
                <w:color w:val="auto"/>
                <w:szCs w:val="21"/>
                <w:lang w:val="en-US" w:eastAsia="zh-CN"/>
              </w:rPr>
              <w:t>天平</w:t>
            </w:r>
            <w:r>
              <w:rPr>
                <w:rFonts w:hint="eastAsia" w:ascii="宋体" w:hAnsi="宋体" w:cs="宋体"/>
                <w:color w:val="auto"/>
                <w:szCs w:val="21"/>
              </w:rPr>
              <w:t>、</w:t>
            </w:r>
            <w:r>
              <w:rPr>
                <w:rFonts w:hint="eastAsia" w:ascii="新宋体" w:hAnsi="新宋体" w:eastAsia="新宋体" w:cs="新宋体"/>
                <w:color w:val="auto"/>
                <w:lang w:val="en-US" w:eastAsia="zh-CN"/>
              </w:rPr>
              <w:t>压力表</w:t>
            </w:r>
            <w:r>
              <w:rPr>
                <w:rFonts w:hint="eastAsia" w:ascii="宋体" w:hAnsi="宋体" w:cs="宋体"/>
                <w:color w:val="auto"/>
                <w:szCs w:val="21"/>
              </w:rPr>
              <w:t>等</w:t>
            </w:r>
            <w:r>
              <w:rPr>
                <w:rFonts w:hint="eastAsia" w:ascii="宋体" w:hAnsi="宋体"/>
                <w:color w:val="auto"/>
                <w:szCs w:val="21"/>
              </w:rPr>
              <w:t>检测设备。</w:t>
            </w:r>
            <w:r>
              <w:rPr>
                <w:rFonts w:hint="eastAsia" w:ascii="宋体" w:hAnsi="宋体" w:cs="宋体"/>
                <w:color w:val="auto"/>
                <w:szCs w:val="21"/>
                <w:shd w:val="clear" w:color="auto" w:fill="FFFFFF"/>
              </w:rPr>
              <w:t>检</w:t>
            </w:r>
            <w:r>
              <w:rPr>
                <w:rFonts w:hint="eastAsia"/>
              </w:rPr>
              <w:t>测设备采取外</w:t>
            </w:r>
            <w:r>
              <w:rPr>
                <w:rFonts w:hint="eastAsia" w:ascii="宋体" w:hAnsi="宋体" w:cs="宋体"/>
                <w:szCs w:val="21"/>
                <w:shd w:val="clear" w:color="auto" w:fill="FFFFFF"/>
              </w:rPr>
              <w:t>校，每年一次，</w:t>
            </w:r>
            <w:r>
              <w:rPr>
                <w:rFonts w:hint="eastAsia" w:ascii="宋体" w:hAnsi="宋体" w:cs="宋体"/>
                <w:szCs w:val="21"/>
              </w:rPr>
              <w:t>能保证</w:t>
            </w:r>
            <w:r>
              <w:rPr>
                <w:rFonts w:hint="eastAsia" w:ascii="宋体" w:hAnsi="宋体"/>
                <w:szCs w:val="21"/>
                <w:lang w:eastAsia="zh-CN"/>
              </w:rPr>
              <w:t>蒸压加气混凝土砌块、蒸压</w:t>
            </w:r>
            <w:r>
              <w:rPr>
                <w:rFonts w:hint="eastAsia" w:ascii="宋体" w:hAnsi="宋体"/>
                <w:color w:val="auto"/>
                <w:szCs w:val="21"/>
                <w:lang w:eastAsia="zh-CN"/>
              </w:rPr>
              <w:t>加气混凝土板材的生产（法规强制要求范围除外）</w:t>
            </w:r>
            <w:r>
              <w:rPr>
                <w:rFonts w:hint="eastAsia" w:ascii="宋体" w:hAnsi="宋体" w:cs="宋体"/>
                <w:color w:val="auto"/>
                <w:szCs w:val="21"/>
              </w:rPr>
              <w:t>的检验要求。</w:t>
            </w:r>
            <w:r>
              <w:rPr>
                <w:rFonts w:hint="eastAsia" w:ascii="宋体" w:hAnsi="宋体" w:cs="宋体"/>
                <w:color w:val="auto"/>
                <w:szCs w:val="21"/>
                <w:lang w:val="en-US" w:eastAsia="zh-CN"/>
              </w:rPr>
              <w:t>提供有以上检测设备的</w:t>
            </w:r>
            <w:r>
              <w:rPr>
                <w:rFonts w:hint="eastAsia"/>
                <w:color w:val="auto"/>
                <w:lang w:val="en-US" w:eastAsia="zh-CN"/>
              </w:rPr>
              <w:t>有效</w:t>
            </w:r>
            <w:r>
              <w:rPr>
                <w:rFonts w:hint="eastAsia"/>
                <w:color w:val="auto"/>
              </w:rPr>
              <w:t>校准证书</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400" w:lineRule="exact"/>
              <w:rPr>
                <w:color w:val="auto"/>
                <w:szCs w:val="21"/>
              </w:rPr>
            </w:pPr>
            <w:r>
              <w:rPr>
                <w:rFonts w:hint="eastAsia" w:ascii="宋体" w:hAnsi="宋体"/>
                <w:color w:val="auto"/>
                <w:szCs w:val="21"/>
                <w:lang w:val="en-US" w:eastAsia="zh-CN"/>
              </w:rPr>
              <w:t>收尘器</w:t>
            </w:r>
            <w:r>
              <w:rPr>
                <w:rFonts w:hint="eastAsia"/>
                <w:color w:val="auto"/>
                <w:szCs w:val="21"/>
              </w:rPr>
              <w:t>、脉冲除尘器、</w:t>
            </w:r>
            <w:r>
              <w:rPr>
                <w:rFonts w:hint="eastAsia"/>
                <w:color w:val="auto"/>
                <w:szCs w:val="21"/>
                <w:lang w:val="en-US" w:eastAsia="zh-CN"/>
              </w:rPr>
              <w:t>油烟净化器</w:t>
            </w:r>
            <w:r>
              <w:rPr>
                <w:rFonts w:hint="eastAsia"/>
                <w:color w:val="auto"/>
                <w:szCs w:val="21"/>
              </w:rPr>
              <w:t>、消防栓、灭火器等。</w:t>
            </w:r>
          </w:p>
          <w:p>
            <w:pPr>
              <w:spacing w:line="240" w:lineRule="exact"/>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default" w:ascii="宋体" w:hAnsi="宋体" w:eastAsia="宋体"/>
                <w:sz w:val="20"/>
                <w:szCs w:val="20"/>
                <w:lang w:val="en-US" w:eastAsia="zh-CN"/>
              </w:rPr>
            </w:pPr>
            <w:r>
              <w:rPr>
                <w:rFonts w:hint="eastAsia" w:ascii="宋体" w:hAnsi="宋体"/>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240" w:lineRule="exact"/>
              <w:rPr>
                <w:rFonts w:ascii="宋体" w:hAnsi="宋体" w:cs="宋体"/>
                <w:color w:val="auto"/>
                <w:szCs w:val="21"/>
              </w:rPr>
            </w:pPr>
            <w:r>
              <w:rPr>
                <w:rFonts w:hint="eastAsia" w:ascii="宋体" w:hAnsi="宋体" w:cs="宋体"/>
                <w:color w:val="auto"/>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auto"/>
                <w:sz w:val="20"/>
                <w:szCs w:val="20"/>
              </w:rPr>
            </w:pPr>
            <w:r>
              <w:rPr>
                <w:rFonts w:hint="eastAsia"/>
                <w:b/>
                <w:color w:val="auto"/>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5 .QMS国家/地方技术监督部门监测（检测、委托检测、定期监测、型式试验等）、抽查结果</w:t>
            </w:r>
          </w:p>
          <w:p>
            <w:pPr>
              <w:spacing w:line="300" w:lineRule="exact"/>
              <w:ind w:firstLine="197" w:firstLineChars="98"/>
              <w:rPr>
                <w:rFonts w:hint="default" w:eastAsia="宋体"/>
                <w:b/>
                <w:color w:val="auto"/>
                <w:sz w:val="20"/>
                <w:szCs w:val="20"/>
                <w:lang w:val="en-US" w:eastAsia="zh-CN"/>
              </w:rPr>
            </w:pPr>
            <w:r>
              <w:rPr>
                <w:rFonts w:hint="eastAsia"/>
                <w:b/>
                <w:color w:val="auto"/>
                <w:sz w:val="20"/>
                <w:szCs w:val="20"/>
                <w:lang w:val="en-US" w:eastAsia="zh-CN"/>
              </w:rPr>
              <w:t>提供有型式试验报告，详情见附件。</w:t>
            </w:r>
          </w:p>
          <w:p>
            <w:pPr>
              <w:spacing w:line="300" w:lineRule="exact"/>
              <w:ind w:firstLine="197" w:firstLineChars="98"/>
              <w:rPr>
                <w:b/>
                <w:color w:val="auto"/>
                <w:sz w:val="20"/>
                <w:szCs w:val="20"/>
              </w:rPr>
            </w:pPr>
            <w:r>
              <w:rPr>
                <w:rFonts w:hint="eastAsia"/>
                <w:b/>
                <w:color w:val="auto"/>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rPr>
              <w:t>噪声</w:t>
            </w:r>
            <w:r>
              <w:rPr>
                <w:rFonts w:hint="eastAsia"/>
                <w:lang w:eastAsia="zh-CN"/>
              </w:rPr>
              <w:t>排放、</w:t>
            </w:r>
            <w:r>
              <w:rPr>
                <w:rFonts w:hint="eastAsia"/>
                <w:lang w:val="en-US" w:eastAsia="zh-CN"/>
              </w:rPr>
              <w:t>废水排放、废气排放、</w:t>
            </w:r>
            <w:r>
              <w:rPr>
                <w:rFonts w:hint="eastAsia" w:asciiTheme="minorEastAsia" w:hAnsiTheme="minorEastAsia" w:eastAsiaTheme="minorEastAsia"/>
                <w:bCs/>
                <w:iCs/>
              </w:rPr>
              <w:t>固废</w:t>
            </w:r>
            <w:r>
              <w:rPr>
                <w:rFonts w:hint="eastAsia" w:asciiTheme="minorEastAsia" w:hAnsiTheme="minorEastAsia" w:eastAsiaTheme="minorEastAsia"/>
                <w:bCs/>
                <w:iCs/>
                <w:lang w:val="en-US" w:eastAsia="zh-CN"/>
              </w:rPr>
              <w:t>排放</w:t>
            </w:r>
            <w:r>
              <w:rPr>
                <w:rFonts w:hint="eastAsia" w:asciiTheme="minorEastAsia" w:hAnsiTheme="minorEastAsia" w:eastAsiaTheme="minorEastAsia"/>
                <w:bCs/>
                <w:iCs/>
              </w:rPr>
              <w:t>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szCs w:val="21"/>
              </w:rPr>
              <w:t>火灾、机械伤害、职业病等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000000" w:themeColor="text1"/>
                <w:sz w:val="20"/>
                <w:szCs w:val="20"/>
              </w:rPr>
              <w:t xml:space="preserve">10. 对特种设备的维护; </w:t>
            </w:r>
            <w:r>
              <w:rPr>
                <w:rFonts w:hint="eastAsia"/>
                <w:b/>
                <w:sz w:val="20"/>
                <w:szCs w:val="20"/>
              </w:rPr>
              <w:t>（适用时</w:t>
            </w:r>
            <w:r>
              <w:rPr>
                <w:rFonts w:hint="eastAsia"/>
                <w:b/>
                <w:color w:val="auto"/>
                <w:sz w:val="20"/>
                <w:szCs w:val="20"/>
              </w:rPr>
              <w:t>）</w:t>
            </w:r>
          </w:p>
          <w:p>
            <w:pPr>
              <w:spacing w:line="240" w:lineRule="exact"/>
              <w:rPr>
                <w:b/>
                <w:color w:val="000000" w:themeColor="text1"/>
                <w:sz w:val="20"/>
                <w:szCs w:val="20"/>
              </w:rPr>
            </w:pPr>
            <w:r>
              <w:rPr>
                <w:rFonts w:hint="eastAsia"/>
                <w:b w:val="0"/>
                <w:bCs/>
                <w:color w:val="auto"/>
                <w:sz w:val="20"/>
                <w:szCs w:val="20"/>
              </w:rPr>
              <w:t>对锅炉、叉车，压力容器进行了年检。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2020年</w:t>
            </w:r>
            <w:r>
              <w:rPr>
                <w:rFonts w:hint="eastAsia" w:ascii="宋体" w:hAnsi="宋体" w:cs="宋体"/>
                <w:szCs w:val="21"/>
                <w:lang w:val="en-US" w:eastAsia="zh-CN"/>
              </w:rPr>
              <w:t>9</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w:t>
            </w:r>
            <w:r>
              <w:rPr>
                <w:rFonts w:hint="eastAsia" w:ascii="宋体" w:hAnsi="宋体" w:cs="宋体"/>
                <w:color w:val="auto"/>
                <w:szCs w:val="21"/>
              </w:rPr>
              <w:t>意度调查按规定实施，2020年</w:t>
            </w:r>
            <w:r>
              <w:rPr>
                <w:rFonts w:hint="eastAsia" w:ascii="宋体" w:hAnsi="宋体" w:cs="宋体"/>
                <w:color w:val="auto"/>
                <w:szCs w:val="21"/>
                <w:lang w:val="en-US" w:eastAsia="zh-CN"/>
              </w:rPr>
              <w:t>12</w:t>
            </w:r>
            <w:r>
              <w:rPr>
                <w:rFonts w:hint="eastAsia" w:ascii="宋体" w:hAnsi="宋体" w:cs="宋体"/>
                <w:color w:val="auto"/>
                <w:szCs w:val="21"/>
              </w:rPr>
              <w:t>月实施，满意度评价9</w:t>
            </w:r>
            <w:r>
              <w:rPr>
                <w:rFonts w:hint="eastAsia" w:ascii="宋体" w:hAnsi="宋体" w:cs="宋体"/>
                <w:color w:val="auto"/>
                <w:szCs w:val="21"/>
                <w:lang w:val="en-US" w:eastAsia="zh-CN"/>
              </w:rPr>
              <w:t>3.3%</w:t>
            </w:r>
            <w:r>
              <w:rPr>
                <w:rFonts w:hint="eastAsia" w:ascii="宋体" w:hAnsi="宋体" w:cs="宋体"/>
                <w:color w:val="auto"/>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建立有《内部审核控制程序》，规定了内审频次一年一次，内审时间：2020年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w:t>
            </w:r>
            <w:r>
              <w:rPr>
                <w:rFonts w:hint="eastAsia" w:ascii="宋体" w:hAnsi="宋体"/>
                <w:szCs w:val="21"/>
              </w:rPr>
              <w:t>0日，拟定了审核实施表，明确了内审范围，内审人员经培训合格上岗，能力满足要求，未出现审核本部门情况，内审不符合项2项，</w:t>
            </w:r>
            <w:r>
              <w:rPr>
                <w:rFonts w:hint="eastAsia" w:ascii="宋体" w:hAnsi="宋体" w:cs="Times New Roman"/>
                <w:szCs w:val="21"/>
              </w:rPr>
              <w:t>涉及供销部Q</w:t>
            </w:r>
            <w:r>
              <w:rPr>
                <w:rFonts w:hint="eastAsia" w:ascii="宋体" w:hAnsi="宋体" w:cs="Times New Roman"/>
                <w:szCs w:val="21"/>
                <w:lang w:val="en-US" w:eastAsia="zh-CN"/>
              </w:rPr>
              <w:t>8.4.1</w:t>
            </w:r>
            <w:r>
              <w:rPr>
                <w:rFonts w:hint="eastAsia" w:ascii="宋体" w:hAnsi="宋体" w:cs="Times New Roman"/>
                <w:szCs w:val="21"/>
              </w:rPr>
              <w:t>条款</w:t>
            </w:r>
            <w:r>
              <w:rPr>
                <w:rFonts w:hint="eastAsia" w:ascii="宋体" w:hAnsi="宋体" w:cs="Times New Roman"/>
                <w:szCs w:val="21"/>
                <w:lang w:val="en-US" w:eastAsia="zh-CN"/>
              </w:rPr>
              <w:t>未对水泥供方重庆非拉铁非建材有限公司进行评价</w:t>
            </w:r>
            <w:r>
              <w:rPr>
                <w:rFonts w:hint="eastAsia" w:ascii="宋体" w:hAnsi="宋体" w:cs="Times New Roman"/>
                <w:szCs w:val="21"/>
              </w:rPr>
              <w:t>和</w:t>
            </w:r>
            <w:r>
              <w:rPr>
                <w:rFonts w:hint="eastAsia" w:ascii="宋体" w:hAnsi="宋体" w:cs="Times New Roman"/>
                <w:szCs w:val="21"/>
                <w:lang w:val="en-US" w:eastAsia="zh-CN"/>
              </w:rPr>
              <w:t>行政</w:t>
            </w:r>
            <w:r>
              <w:rPr>
                <w:rFonts w:hint="eastAsia" w:ascii="宋体" w:hAnsi="宋体" w:cs="Times New Roman"/>
                <w:szCs w:val="21"/>
              </w:rPr>
              <w:t>部E</w:t>
            </w:r>
            <w:r>
              <w:rPr>
                <w:rFonts w:hint="eastAsia" w:ascii="宋体" w:hAnsi="宋体" w:cs="Times New Roman"/>
                <w:szCs w:val="21"/>
                <w:lang w:val="en-US" w:eastAsia="zh-CN"/>
              </w:rPr>
              <w:t>7.4</w:t>
            </w:r>
            <w:r>
              <w:rPr>
                <w:rFonts w:hint="eastAsia" w:ascii="宋体" w:hAnsi="宋体" w:cs="Times New Roman"/>
                <w:szCs w:val="21"/>
              </w:rPr>
              <w:t>条款</w:t>
            </w:r>
            <w:r>
              <w:rPr>
                <w:rFonts w:hint="eastAsia" w:ascii="宋体" w:hAnsi="宋体" w:cs="Times New Roman"/>
                <w:szCs w:val="21"/>
                <w:lang w:val="en-US" w:eastAsia="zh-CN"/>
              </w:rPr>
              <w:t>未能提供对水泥供方重庆非拉铁非建材有限公司就环境进行沟通的证实</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2020年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400" w:lineRule="exact"/>
              <w:rPr>
                <w:rFonts w:hint="default" w:eastAsia="宋体"/>
                <w:sz w:val="20"/>
                <w:szCs w:val="20"/>
                <w:lang w:val="en-US" w:eastAsia="zh-CN"/>
              </w:rPr>
            </w:pPr>
            <w:r>
              <w:rPr>
                <w:rFonts w:hint="eastAsia" w:ascii="宋体" w:hAnsi="宋体"/>
                <w:szCs w:val="21"/>
              </w:rPr>
              <w:t>提供有</w:t>
            </w:r>
            <w:r>
              <w:rPr>
                <w:rFonts w:hint="eastAsia"/>
                <w:color w:val="000000" w:themeColor="text1"/>
                <w:kern w:val="0"/>
                <w:szCs w:val="21"/>
              </w:rPr>
              <w:t>202</w:t>
            </w:r>
            <w:r>
              <w:rPr>
                <w:rFonts w:hint="eastAsia"/>
                <w:color w:val="000000" w:themeColor="text1"/>
                <w:kern w:val="0"/>
                <w:szCs w:val="21"/>
                <w:lang w:val="en-US" w:eastAsia="zh-CN"/>
              </w:rPr>
              <w:t>1</w:t>
            </w:r>
            <w:r>
              <w:rPr>
                <w:rFonts w:hint="eastAsia"/>
                <w:color w:val="000000" w:themeColor="text1"/>
                <w:kern w:val="0"/>
                <w:szCs w:val="21"/>
              </w:rPr>
              <w:t>年1月</w:t>
            </w:r>
            <w:r>
              <w:rPr>
                <w:rFonts w:hint="eastAsia"/>
                <w:color w:val="000000" w:themeColor="text1"/>
                <w:kern w:val="0"/>
                <w:szCs w:val="21"/>
                <w:lang w:val="en-US" w:eastAsia="zh-CN"/>
              </w:rPr>
              <w:t>25</w:t>
            </w:r>
            <w:r>
              <w:rPr>
                <w:rFonts w:hint="eastAsia"/>
                <w:color w:val="000000" w:themeColor="text1"/>
                <w:kern w:val="0"/>
                <w:szCs w:val="21"/>
              </w:rPr>
              <w:t>日</w:t>
            </w:r>
            <w:r>
              <w:rPr>
                <w:rFonts w:hint="eastAsia"/>
                <w:color w:val="000000" w:themeColor="text1"/>
                <w:szCs w:val="21"/>
                <w:lang w:val="en-US" w:eastAsia="zh-CN"/>
              </w:rPr>
              <w:t>环境监测报告</w:t>
            </w:r>
            <w:r>
              <w:rPr>
                <w:rFonts w:hint="eastAsia" w:ascii="宋体" w:hAnsi="宋体" w:cs="宋体"/>
                <w:color w:val="000000" w:themeColor="text1"/>
                <w:kern w:val="0"/>
                <w:szCs w:val="21"/>
              </w:rPr>
              <w:t>，报告编号：</w:t>
            </w:r>
            <w:r>
              <w:rPr>
                <w:rFonts w:hint="eastAsia"/>
                <w:color w:val="000000" w:themeColor="text1"/>
                <w:szCs w:val="21"/>
                <w:lang w:val="en-US" w:eastAsia="zh-CN"/>
              </w:rPr>
              <w:t>开创环（检）字（2020）第WT189号</w:t>
            </w:r>
            <w:r>
              <w:rPr>
                <w:rFonts w:hint="eastAsia" w:ascii="宋体" w:hAnsi="宋体" w:cs="宋体"/>
                <w:color w:val="000000" w:themeColor="text1"/>
                <w:kern w:val="0"/>
                <w:szCs w:val="21"/>
              </w:rPr>
              <w:t>。监测项目：噪声、废气</w:t>
            </w:r>
            <w:r>
              <w:rPr>
                <w:rFonts w:hint="eastAsia" w:ascii="宋体" w:hAnsi="宋体" w:cs="宋体"/>
                <w:color w:val="000000"/>
                <w:kern w:val="0"/>
                <w:szCs w:val="21"/>
              </w:rPr>
              <w:t>。</w:t>
            </w:r>
            <w:r>
              <w:rPr>
                <w:rFonts w:hint="eastAsia" w:ascii="宋体" w:hAnsi="宋体" w:cs="宋体"/>
                <w:color w:val="000000"/>
                <w:kern w:val="0"/>
                <w:szCs w:val="21"/>
                <w:lang w:val="en-US" w:eastAsia="zh-CN"/>
              </w:rPr>
              <w:t>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pStyle w:val="16"/>
              <w:rPr>
                <w:b/>
                <w:sz w:val="20"/>
                <w:szCs w:val="20"/>
              </w:rPr>
            </w:pPr>
            <w:r>
              <w:rPr>
                <w:rFonts w:hint="eastAsia" w:ascii="Times New Roman" w:hAnsi="Times New Roman" w:eastAsia="宋体" w:cs="Times New Roman"/>
                <w:color w:val="auto"/>
                <w:kern w:val="2"/>
                <w:sz w:val="21"/>
                <w:szCs w:val="21"/>
                <w:lang w:val="en-US" w:eastAsia="zh-CN" w:bidi="ar-SA"/>
              </w:rPr>
              <w:t>提供有：环境影响评价文件：渝（津）环准（2012）171号。</w:t>
            </w:r>
            <w:r>
              <w:rPr>
                <w:rFonts w:hint="eastAsia" w:ascii="Times New Roman" w:hAnsi="Times New Roman" w:cs="Times New Roman"/>
                <w:color w:val="auto"/>
                <w:kern w:val="2"/>
                <w:sz w:val="21"/>
                <w:szCs w:val="21"/>
                <w:lang w:val="en-US" w:eastAsia="zh-CN" w:bidi="ar-SA"/>
              </w:rPr>
              <w:t>环</w:t>
            </w:r>
            <w:r>
              <w:rPr>
                <w:rFonts w:hint="eastAsia" w:ascii="Times New Roman" w:hAnsi="Times New Roman" w:eastAsia="宋体" w:cs="Times New Roman"/>
                <w:color w:val="auto"/>
                <w:kern w:val="2"/>
                <w:sz w:val="21"/>
                <w:szCs w:val="21"/>
                <w:lang w:val="en-US" w:eastAsia="zh-CN" w:bidi="ar-SA"/>
              </w:rPr>
              <w:t>境保护验收批复：渝（津）环验（2015）011号。</w:t>
            </w:r>
            <w:r>
              <w:rPr>
                <w:rFonts w:hint="eastAsia" w:ascii="Times New Roman" w:hAnsi="Times New Roman" w:cs="Times New Roman"/>
                <w:color w:val="auto"/>
                <w:kern w:val="2"/>
                <w:sz w:val="21"/>
                <w:szCs w:val="21"/>
                <w:lang w:val="en-US" w:eastAsia="zh-CN" w:bidi="ar-SA"/>
              </w:rPr>
              <w:t>详情见附件</w:t>
            </w:r>
            <w:r>
              <w:rPr>
                <w:rFonts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eastAsia="宋体"/>
                <w:b/>
                <w:color w:val="000000" w:themeColor="text1"/>
                <w:sz w:val="20"/>
                <w:szCs w:val="20"/>
                <w:lang w:eastAsia="zh-CN"/>
              </w:rPr>
            </w:pP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sz w:val="20"/>
                <w:szCs w:val="20"/>
                <w:lang w:eastAsia="zh-CN"/>
              </w:rPr>
            </w:pPr>
            <w:r>
              <w:rPr>
                <w:rFonts w:hint="eastAsia"/>
                <w:b/>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pacing w:val="-20"/>
                <w:sz w:val="20"/>
                <w:szCs w:val="20"/>
              </w:rPr>
            </w:pPr>
            <w:r>
              <w:rPr>
                <w:rFonts w:hint="eastAsia"/>
                <w:b/>
                <w:color w:val="auto"/>
                <w:spacing w:val="-20"/>
                <w:sz w:val="20"/>
                <w:szCs w:val="20"/>
              </w:rPr>
              <w:t>2（近一年）重大事故、顾客/相关方投诉：：</w:t>
            </w:r>
          </w:p>
          <w:p>
            <w:pPr>
              <w:spacing w:line="240" w:lineRule="exact"/>
              <w:rPr>
                <w:b/>
                <w:color w:val="auto"/>
                <w:sz w:val="20"/>
                <w:szCs w:val="20"/>
              </w:rPr>
            </w:pPr>
            <w:r>
              <w:rPr>
                <w:rFonts w:hint="eastAsia"/>
                <w:b/>
                <w:color w:val="auto"/>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3. 一阶段提出问题的整改情况?</w:t>
            </w:r>
          </w:p>
          <w:p>
            <w:pPr>
              <w:spacing w:line="240" w:lineRule="exact"/>
              <w:rPr>
                <w:b/>
                <w:color w:val="auto"/>
                <w:spacing w:val="-20"/>
                <w:sz w:val="20"/>
                <w:szCs w:val="20"/>
              </w:rPr>
            </w:pPr>
            <w:r>
              <w:rPr>
                <w:rFonts w:hint="eastAsia"/>
                <w:b/>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auto"/>
          <w:sz w:val="26"/>
          <w:szCs w:val="26"/>
        </w:rPr>
      </w:pPr>
    </w:p>
    <w:p>
      <w:pPr>
        <w:spacing w:line="360" w:lineRule="auto"/>
        <w:ind w:left="1" w:leftChars="-472" w:hanging="992" w:hangingChars="380"/>
        <w:rPr>
          <w:b/>
          <w:color w:val="auto"/>
          <w:sz w:val="20"/>
        </w:rPr>
      </w:pPr>
      <w:r>
        <w:rPr>
          <w:rFonts w:hint="eastAsia"/>
          <w:b/>
          <w:color w:val="auto"/>
          <w:sz w:val="26"/>
          <w:szCs w:val="26"/>
        </w:rPr>
        <w:t>七、本次审核不符合项</w:t>
      </w:r>
    </w:p>
    <w:p>
      <w:pPr>
        <w:tabs>
          <w:tab w:val="left" w:pos="9072"/>
        </w:tabs>
        <w:spacing w:line="360" w:lineRule="auto"/>
        <w:ind w:left="-993" w:leftChars="-473" w:firstLine="2"/>
        <w:rPr>
          <w:b/>
          <w:color w:val="auto"/>
        </w:rPr>
      </w:pPr>
      <w:r>
        <w:rPr>
          <w:rFonts w:hint="eastAsia"/>
          <w:b/>
          <w:color w:val="auto"/>
        </w:rPr>
        <w:t>1. 本次审核共开具不符合项报告</w:t>
      </w:r>
      <w:r>
        <w:rPr>
          <w:rFonts w:hint="eastAsia"/>
          <w:b/>
          <w:color w:val="auto"/>
          <w:u w:val="single"/>
          <w:lang w:val="en-US" w:eastAsia="zh-CN"/>
        </w:rPr>
        <w:t>2</w:t>
      </w:r>
      <w:r>
        <w:rPr>
          <w:rFonts w:hint="eastAsia"/>
          <w:b/>
          <w:color w:val="auto"/>
        </w:rPr>
        <w:t>项；其中</w:t>
      </w:r>
      <w:r>
        <w:rPr>
          <w:b/>
          <w:color w:val="auto"/>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rPr>
        <w:t>严重不符合</w:t>
      </w:r>
      <w:r>
        <w:rPr>
          <w:rFonts w:hint="eastAsia"/>
          <w:b/>
          <w:color w:val="auto"/>
          <w:u w:val="single"/>
          <w:lang w:val="en-US" w:eastAsia="zh-CN"/>
        </w:rPr>
        <w:t>0</w:t>
      </w:r>
      <w:r>
        <w:rPr>
          <w:rFonts w:hint="eastAsia"/>
          <w:b/>
          <w:color w:val="auto"/>
          <w:u w:val="single"/>
        </w:rPr>
        <w:t>项</w:t>
      </w:r>
      <w:r>
        <w:rPr>
          <w:rFonts w:hint="eastAsia"/>
          <w:b/>
          <w:color w:val="auto"/>
        </w:rPr>
        <w:t>，一般不符合</w:t>
      </w:r>
      <w:r>
        <w:rPr>
          <w:rFonts w:hint="eastAsia"/>
          <w:b/>
          <w:color w:val="auto"/>
          <w:u w:val="single"/>
          <w:lang w:val="en-US" w:eastAsia="zh-CN"/>
        </w:rPr>
        <w:t>2</w:t>
      </w:r>
      <w:r>
        <w:rPr>
          <w:rFonts w:hint="eastAsia"/>
          <w:b/>
          <w:color w:val="auto"/>
        </w:rPr>
        <w:t>项，观察项项分布在</w:t>
      </w:r>
      <w:r>
        <w:rPr>
          <w:rFonts w:hint="eastAsia" w:ascii="方正仿宋简体" w:eastAsia="方正仿宋简体"/>
          <w:b/>
          <w:color w:val="auto"/>
          <w:u w:val="single"/>
          <w:lang w:val="en-US" w:eastAsia="zh-CN"/>
        </w:rPr>
        <w:t>生技部</w:t>
      </w:r>
      <w:r>
        <w:rPr>
          <w:rFonts w:hint="eastAsia"/>
          <w:b/>
          <w:color w:val="auto"/>
        </w:rPr>
        <w:t>部门</w:t>
      </w:r>
      <w:r>
        <w:rPr>
          <w:rFonts w:hint="eastAsia"/>
          <w:b/>
          <w:color w:val="auto"/>
          <w:u w:val="single"/>
          <w:lang w:val="en-US" w:eastAsia="zh-CN"/>
        </w:rPr>
        <w:t>Q8.5.1f)</w:t>
      </w:r>
      <w:r>
        <w:rPr>
          <w:rFonts w:hint="eastAsia"/>
          <w:b/>
          <w:color w:val="auto"/>
          <w:lang w:val="en-US" w:eastAsia="zh-CN"/>
        </w:rPr>
        <w:t>及</w:t>
      </w:r>
      <w:r>
        <w:rPr>
          <w:rFonts w:hint="eastAsia"/>
          <w:b/>
          <w:color w:val="auto"/>
          <w:u w:val="single"/>
          <w:lang w:val="en-US" w:eastAsia="zh-CN"/>
        </w:rPr>
        <w:t>E8.2a)</w:t>
      </w:r>
      <w:r>
        <w:rPr>
          <w:rFonts w:hint="eastAsia"/>
          <w:b/>
          <w:color w:val="auto"/>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b/>
                <w:color w:val="000000" w:themeColor="text1"/>
                <w:u w:val="single"/>
              </w:rPr>
            </w:pPr>
            <w:r>
              <w:rPr>
                <w:rFonts w:ascii="宋体" w:hAnsi="宋体"/>
                <w:b/>
                <w:color w:val="000000" w:themeColor="text1"/>
              </w:rPr>
              <w:t>QMS:</w:t>
            </w:r>
            <w:r>
              <w:rPr>
                <w:sz w:val="20"/>
              </w:rPr>
              <w:t>Q：</w:t>
            </w:r>
            <w:r>
              <w:rPr>
                <w:sz w:val="20"/>
                <w:u w:val="single"/>
              </w:rPr>
              <w:t>蒸压加气混凝土砌块、蒸压加气混凝土板材的生产（法规强制要求范围除外）</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u w:val="single"/>
              </w:rPr>
              <w:t>蒸压加气混凝土砌块、蒸压加气混凝土板材的生产（法规强制要求范围除外）及其场所涉及的相关环境管理活动。</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2291072" behindDoc="0" locked="0" layoutInCell="1" allowOverlap="1">
            <wp:simplePos x="0" y="0"/>
            <wp:positionH relativeFrom="column">
              <wp:posOffset>1628775</wp:posOffset>
            </wp:positionH>
            <wp:positionV relativeFrom="paragraph">
              <wp:posOffset>324485</wp:posOffset>
            </wp:positionV>
            <wp:extent cx="590550" cy="428625"/>
            <wp:effectExtent l="0" t="0" r="3810" b="1333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6"/>
                    <a:stretch>
                      <a:fillRect/>
                    </a:stretch>
                  </pic:blipFill>
                  <pic:spPr>
                    <a:xfrm>
                      <a:off x="0" y="0"/>
                      <a:ext cx="590550" cy="42862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762688" behindDoc="0" locked="0" layoutInCell="1" allowOverlap="1">
            <wp:simplePos x="0" y="0"/>
            <wp:positionH relativeFrom="column">
              <wp:posOffset>2450465</wp:posOffset>
            </wp:positionH>
            <wp:positionV relativeFrom="paragraph">
              <wp:posOffset>192405</wp:posOffset>
            </wp:positionV>
            <wp:extent cx="575945" cy="360680"/>
            <wp:effectExtent l="0" t="0" r="3175" b="5080"/>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新文档 2020-01-09 10.59.53_副本.jpg"/>
                    <pic:cNvPicPr>
                      <a:picLocks noChangeAspect="1"/>
                    </pic:cNvPicPr>
                  </pic:nvPicPr>
                  <pic:blipFill>
                    <a:blip r:embed="rId7"/>
                    <a:stretch>
                      <a:fillRect/>
                    </a:stretch>
                  </pic:blipFill>
                  <pic:spPr>
                    <a:xfrm>
                      <a:off x="0" y="0"/>
                      <a:ext cx="575945" cy="360680"/>
                    </a:xfrm>
                    <a:prstGeom prst="rect">
                      <a:avLst/>
                    </a:prstGeom>
                    <a:noFill/>
                    <a:ln>
                      <a:noFill/>
                    </a:ln>
                  </pic:spPr>
                </pic:pic>
              </a:graphicData>
            </a:graphic>
          </wp:anchor>
        </w:drawing>
      </w:r>
      <w:r>
        <w:rPr>
          <w:rFonts w:hint="eastAsia"/>
        </w:rPr>
        <w:drawing>
          <wp:anchor distT="0" distB="0" distL="114300" distR="114300" simplePos="0" relativeHeight="251958272" behindDoc="0" locked="0" layoutInCell="1" allowOverlap="1">
            <wp:simplePos x="0" y="0"/>
            <wp:positionH relativeFrom="column">
              <wp:posOffset>3164840</wp:posOffset>
            </wp:positionH>
            <wp:positionV relativeFrom="paragraph">
              <wp:posOffset>222250</wp:posOffset>
            </wp:positionV>
            <wp:extent cx="544830" cy="248920"/>
            <wp:effectExtent l="0" t="0" r="3810" b="10160"/>
            <wp:wrapNone/>
            <wp:docPr id="6"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87ac17c702f787ebcb7b5ad453f94b0"/>
                    <pic:cNvPicPr>
                      <a:picLocks noChangeAspect="1"/>
                    </pic:cNvPicPr>
                  </pic:nvPicPr>
                  <pic:blipFill>
                    <a:blip r:embed="rId8"/>
                    <a:stretch>
                      <a:fillRect/>
                    </a:stretch>
                  </pic:blipFill>
                  <pic:spPr>
                    <a:xfrm>
                      <a:off x="0" y="0"/>
                      <a:ext cx="544830" cy="24892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2167168" behindDoc="0" locked="0" layoutInCell="1" allowOverlap="1">
            <wp:simplePos x="0" y="0"/>
            <wp:positionH relativeFrom="column">
              <wp:posOffset>1662430</wp:posOffset>
            </wp:positionH>
            <wp:positionV relativeFrom="paragraph">
              <wp:posOffset>163195</wp:posOffset>
            </wp:positionV>
            <wp:extent cx="728345" cy="372745"/>
            <wp:effectExtent l="0" t="0" r="3175" b="8255"/>
            <wp:wrapNone/>
            <wp:docPr id="5" name="图片 3" descr="4b3d76e7c13e9e5686158e320709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4b3d76e7c13e9e5686158e320709e2e"/>
                    <pic:cNvPicPr>
                      <a:picLocks noChangeAspect="1"/>
                    </pic:cNvPicPr>
                  </pic:nvPicPr>
                  <pic:blipFill>
                    <a:blip r:embed="rId9">
                      <a:lum bright="17999" contrast="70000"/>
                    </a:blip>
                    <a:stretch>
                      <a:fillRect/>
                    </a:stretch>
                  </pic:blipFill>
                  <pic:spPr>
                    <a:xfrm>
                      <a:off x="0" y="0"/>
                      <a:ext cx="728345" cy="37274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03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08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auto"/>
          <w:sz w:val="26"/>
          <w:szCs w:val="26"/>
        </w:rPr>
      </w:pPr>
      <w:r>
        <w:rPr>
          <w:rFonts w:hint="eastAsia"/>
          <w:b/>
          <w:color w:val="000000" w:themeColor="text1"/>
          <w:sz w:val="26"/>
          <w:szCs w:val="26"/>
        </w:rPr>
        <w:t>十五、纠</w:t>
      </w:r>
      <w:r>
        <w:rPr>
          <w:rFonts w:hint="eastAsia"/>
          <w:b/>
          <w:color w:val="auto"/>
          <w:sz w:val="26"/>
          <w:szCs w:val="26"/>
        </w:rPr>
        <w:t>正措施验证结论：</w:t>
      </w:r>
    </w:p>
    <w:p>
      <w:pPr>
        <w:snapToGrid w:val="0"/>
        <w:spacing w:before="156" w:beforeLines="50" w:after="156" w:afterLines="50" w:line="360" w:lineRule="auto"/>
        <w:ind w:left="0" w:leftChars="-202" w:hanging="424" w:hangingChars="201"/>
        <w:rPr>
          <w:b/>
          <w:color w:val="auto"/>
          <w:sz w:val="26"/>
          <w:szCs w:val="26"/>
        </w:rPr>
      </w:pPr>
      <w:r>
        <w:rPr>
          <w:rFonts w:hint="eastAsia"/>
          <w:b/>
          <w:bCs/>
          <w:color w:val="auto"/>
          <w:szCs w:val="21"/>
        </w:rPr>
        <w:t>1.  审核中发现的</w:t>
      </w:r>
      <w:r>
        <w:rPr>
          <w:rFonts w:hint="eastAsia" w:ascii="宋体" w:hAnsi="宋体" w:eastAsia="宋体" w:cs="宋体"/>
          <w:b/>
          <w:bCs/>
          <w:color w:val="auto"/>
          <w:szCs w:val="21"/>
        </w:rPr>
        <w:t>■</w:t>
      </w:r>
      <w:r>
        <w:rPr>
          <w:rFonts w:hint="eastAsia"/>
          <w:b/>
          <w:color w:val="auto"/>
          <w:szCs w:val="21"/>
        </w:rPr>
        <w:t xml:space="preserve">QMS(  </w:t>
      </w:r>
      <w:r>
        <w:rPr>
          <w:rFonts w:hint="eastAsia"/>
          <w:b/>
          <w:color w:val="auto"/>
          <w:szCs w:val="21"/>
          <w:lang w:val="en-US" w:eastAsia="zh-CN"/>
        </w:rPr>
        <w:t>1</w:t>
      </w:r>
      <w:r>
        <w:rPr>
          <w:rFonts w:hint="eastAsia"/>
          <w:b/>
          <w:color w:val="auto"/>
          <w:szCs w:val="21"/>
        </w:rPr>
        <w:t xml:space="preserve"> )个一般不符合，( </w:t>
      </w:r>
      <w:r>
        <w:rPr>
          <w:rFonts w:hint="eastAsia"/>
          <w:b/>
          <w:color w:val="auto"/>
          <w:szCs w:val="21"/>
          <w:lang w:val="en-US" w:eastAsia="zh-CN"/>
        </w:rPr>
        <w:t>0</w:t>
      </w:r>
      <w:r>
        <w:rPr>
          <w:rFonts w:hint="eastAsia"/>
          <w:b/>
          <w:color w:val="auto"/>
          <w:szCs w:val="21"/>
        </w:rPr>
        <w:t xml:space="preserve"> )个严重不符合，</w:t>
      </w:r>
      <w:r>
        <w:rPr>
          <w:rFonts w:hint="eastAsia"/>
          <w:b/>
          <w:color w:val="auto"/>
          <w:szCs w:val="21"/>
          <w:lang w:eastAsia="zh-CN"/>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rPr>
      </w:pPr>
      <w:r>
        <w:rPr>
          <w:rFonts w:hint="eastAsia"/>
          <w:b/>
          <w:bCs/>
          <w:color w:val="auto"/>
          <w:szCs w:val="21"/>
        </w:rPr>
        <w:t>审核中发现的</w:t>
      </w:r>
      <w:r>
        <w:rPr>
          <w:rFonts w:hint="eastAsia"/>
          <w:b/>
          <w:bCs/>
          <w:color w:val="auto"/>
          <w:szCs w:val="21"/>
          <w:lang w:eastAsia="zh-CN"/>
        </w:rPr>
        <w:t>■</w:t>
      </w:r>
      <w:r>
        <w:rPr>
          <w:rFonts w:hint="eastAsia"/>
          <w:b/>
          <w:color w:val="auto"/>
          <w:szCs w:val="21"/>
        </w:rPr>
        <w:t xml:space="preserve">EMS( </w:t>
      </w:r>
      <w:r>
        <w:rPr>
          <w:rFonts w:hint="eastAsia"/>
          <w:b/>
          <w:color w:val="auto"/>
          <w:szCs w:val="21"/>
          <w:lang w:val="en-US" w:eastAsia="zh-CN"/>
        </w:rPr>
        <w:t>1</w:t>
      </w:r>
      <w:r>
        <w:rPr>
          <w:rFonts w:hint="eastAsia"/>
          <w:b/>
          <w:color w:val="auto"/>
          <w:szCs w:val="21"/>
        </w:rPr>
        <w:t xml:space="preserve">  )个一般不符合，( </w:t>
      </w:r>
      <w:r>
        <w:rPr>
          <w:rFonts w:hint="eastAsia"/>
          <w:b/>
          <w:color w:val="auto"/>
          <w:szCs w:val="21"/>
          <w:lang w:val="en-US" w:eastAsia="zh-CN"/>
        </w:rPr>
        <w:t>0</w:t>
      </w:r>
      <w:r>
        <w:rPr>
          <w:rFonts w:hint="eastAsia"/>
          <w:b/>
          <w:color w:val="auto"/>
          <w:szCs w:val="21"/>
        </w:rPr>
        <w:t xml:space="preserve"> )个严重不符合，</w:t>
      </w:r>
      <w:r>
        <w:rPr>
          <w:rFonts w:hint="eastAsia"/>
          <w:b/>
          <w:color w:val="auto"/>
          <w:szCs w:val="21"/>
          <w:lang w:eastAsia="zh-CN"/>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rPr>
      </w:pPr>
      <w:r>
        <w:rPr>
          <w:rFonts w:hint="eastAsia"/>
          <w:b/>
          <w:bCs/>
          <w:color w:val="auto"/>
          <w:szCs w:val="21"/>
        </w:rPr>
        <w:t>审核中发现的</w:t>
      </w:r>
      <w:r>
        <w:rPr>
          <w:rFonts w:hint="eastAsia"/>
          <w:b/>
          <w:color w:val="auto"/>
          <w:spacing w:val="-10"/>
          <w:szCs w:val="21"/>
        </w:rPr>
        <w:t>□</w:t>
      </w:r>
      <w:r>
        <w:rPr>
          <w:rFonts w:hint="eastAsia"/>
          <w:b/>
          <w:color w:val="auto"/>
          <w:szCs w:val="21"/>
        </w:rPr>
        <w:t>OHSMS(   )个一般不符合，(  )个严重不符合，</w:t>
      </w:r>
      <w:r>
        <w:rPr>
          <w:rFonts w:hint="eastAsia"/>
          <w:b/>
          <w:color w:val="auto"/>
          <w:spacing w:val="-10"/>
          <w:szCs w:val="21"/>
        </w:rPr>
        <w:t>□</w:t>
      </w:r>
      <w:r>
        <w:rPr>
          <w:rFonts w:hint="eastAsia"/>
          <w:b/>
          <w:color w:val="auto"/>
          <w:szCs w:val="21"/>
        </w:rPr>
        <w:t>验证合格</w:t>
      </w:r>
      <w:r>
        <w:rPr>
          <w:rFonts w:hint="eastAsia"/>
          <w:b/>
          <w:color w:val="auto"/>
          <w:spacing w:val="-10"/>
          <w:szCs w:val="21"/>
        </w:rPr>
        <w:t>□</w:t>
      </w:r>
      <w:r>
        <w:rPr>
          <w:rFonts w:hint="eastAsia"/>
          <w:b/>
          <w:color w:val="auto"/>
          <w:szCs w:val="21"/>
        </w:rPr>
        <w:t>仍有问题</w:t>
      </w:r>
    </w:p>
    <w:p>
      <w:pPr>
        <w:spacing w:line="360" w:lineRule="auto"/>
        <w:rPr>
          <w:b/>
          <w:color w:val="auto"/>
          <w:szCs w:val="21"/>
          <w:u w:val="single"/>
        </w:rPr>
      </w:pPr>
      <w:r>
        <w:rPr>
          <w:rFonts w:hint="eastAsia"/>
          <w:b/>
          <w:color w:val="auto"/>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2924928" behindDoc="0" locked="0" layoutInCell="1" allowOverlap="1">
            <wp:simplePos x="0" y="0"/>
            <wp:positionH relativeFrom="column">
              <wp:posOffset>767715</wp:posOffset>
            </wp:positionH>
            <wp:positionV relativeFrom="paragraph">
              <wp:posOffset>116840</wp:posOffset>
            </wp:positionV>
            <wp:extent cx="590550" cy="428625"/>
            <wp:effectExtent l="0" t="0" r="3810" b="13335"/>
            <wp:wrapNone/>
            <wp:docPr id="7"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24309\AppData\Local\Temp\WeChat Files\5990baca09647c352f1321b31faa90a.jpg"/>
                    <pic:cNvPicPr>
                      <a:picLocks noChangeAspect="1"/>
                    </pic:cNvPicPr>
                  </pic:nvPicPr>
                  <pic:blipFill>
                    <a:blip r:embed="rId6"/>
                    <a:stretch>
                      <a:fillRect/>
                    </a:stretch>
                  </pic:blipFill>
                  <pic:spPr>
                    <a:xfrm>
                      <a:off x="0" y="0"/>
                      <a:ext cx="590550" cy="42862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FF0000"/>
          <w:szCs w:val="21"/>
        </w:rPr>
        <w:t xml:space="preserve"> 日期:       年</w:t>
      </w:r>
      <w:r>
        <w:rPr>
          <w:rFonts w:hint="eastAsia"/>
          <w:b/>
          <w:color w:val="FF0000"/>
          <w:szCs w:val="21"/>
          <w:lang w:val="en-US" w:eastAsia="zh-CN"/>
        </w:rPr>
        <w:t xml:space="preserve">  </w:t>
      </w:r>
      <w:r>
        <w:rPr>
          <w:rFonts w:hint="eastAsia"/>
          <w:b/>
          <w:color w:val="FF0000"/>
          <w:szCs w:val="21"/>
        </w:rPr>
        <w:t>月</w:t>
      </w:r>
      <w:r>
        <w:rPr>
          <w:rFonts w:hint="eastAsia"/>
          <w:b/>
          <w:color w:val="FF0000"/>
          <w:szCs w:val="21"/>
          <w:lang w:val="en-US" w:eastAsia="zh-CN"/>
        </w:rPr>
        <w:t xml:space="preserve">  </w:t>
      </w:r>
      <w:r>
        <w:rPr>
          <w:rFonts w:hint="eastAsia"/>
          <w:b/>
          <w:color w:val="FF0000"/>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E6F700"/>
    <w:multiLevelType w:val="singleLevel"/>
    <w:tmpl w:val="F4E6F700"/>
    <w:lvl w:ilvl="0" w:tentative="0">
      <w:start w:val="1"/>
      <w:numFmt w:val="decimal"/>
      <w:lvlText w:val="%1."/>
      <w:lvlJc w:val="left"/>
      <w:pPr>
        <w:ind w:left="425" w:hanging="425"/>
      </w:pPr>
      <w:rPr>
        <w:rFonts w:hint="default"/>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951F9A"/>
    <w:rsid w:val="1AE076DC"/>
    <w:rsid w:val="2F536D14"/>
    <w:rsid w:val="5EC74637"/>
    <w:rsid w:val="61BB02DA"/>
    <w:rsid w:val="76F37C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7">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2021-03-08T14:45:53Z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