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重庆科华新型节能墙体材料有限公司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0144-2021-QE</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华文宋体" w:hAnsi="华文宋体" w:eastAsia="华文宋体"/>
                <w:szCs w:val="21"/>
              </w:rPr>
              <w:t>91500116597985585L</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r>
              <w:rPr>
                <w:rFonts w:hint="eastAsia"/>
                <w:color w:val="000000" w:themeColor="text1"/>
                <w:szCs w:val="21"/>
              </w:rPr>
              <w:t>提供有：</w:t>
            </w:r>
            <w:r>
              <w:rPr>
                <w:rFonts w:hint="eastAsia"/>
                <w:color w:val="000000" w:themeColor="text1"/>
                <w:szCs w:val="21"/>
                <w:lang w:val="en-US" w:eastAsia="zh-CN"/>
              </w:rPr>
              <w:t>环境影响评价文件：渝（津）环准（2012）</w:t>
            </w:r>
            <w:r>
              <w:rPr>
                <w:rFonts w:hint="eastAsia" w:ascii="宋体" w:hAnsi="宋体" w:cs="宋体"/>
                <w:color w:val="000000" w:themeColor="text1"/>
                <w:kern w:val="0"/>
                <w:szCs w:val="21"/>
                <w:lang w:val="en-US" w:eastAsia="zh-CN"/>
              </w:rPr>
              <w:t>171号。境保护验收批复：</w:t>
            </w:r>
            <w:r>
              <w:rPr>
                <w:rFonts w:hint="eastAsia" w:ascii="宋体" w:hAnsi="宋体" w:cs="宋体"/>
                <w:color w:val="000000" w:themeColor="text1"/>
                <w:kern w:val="0"/>
                <w:szCs w:val="21"/>
              </w:rPr>
              <w:t>渝（</w:t>
            </w:r>
            <w:r>
              <w:rPr>
                <w:rFonts w:hint="eastAsia" w:ascii="宋体" w:hAnsi="宋体" w:cs="宋体"/>
                <w:color w:val="000000" w:themeColor="text1"/>
                <w:kern w:val="0"/>
                <w:szCs w:val="21"/>
                <w:lang w:val="en-US" w:eastAsia="zh-CN"/>
              </w:rPr>
              <w:t>津</w:t>
            </w:r>
            <w:r>
              <w:rPr>
                <w:rFonts w:hint="eastAsia" w:ascii="宋体" w:hAnsi="宋体" w:cs="宋体"/>
                <w:color w:val="000000" w:themeColor="text1"/>
                <w:kern w:val="0"/>
                <w:szCs w:val="21"/>
              </w:rPr>
              <w:t>）环</w:t>
            </w:r>
            <w:r>
              <w:rPr>
                <w:rFonts w:hint="eastAsia" w:ascii="宋体" w:hAnsi="宋体" w:cs="宋体"/>
                <w:color w:val="000000" w:themeColor="text1"/>
                <w:kern w:val="0"/>
                <w:szCs w:val="21"/>
                <w:lang w:val="en-US" w:eastAsia="zh-CN"/>
              </w:rPr>
              <w:t>验</w:t>
            </w:r>
            <w:r>
              <w:rPr>
                <w:rFonts w:hint="eastAsia" w:ascii="宋体" w:hAnsi="宋体" w:cs="宋体"/>
                <w:color w:val="000000" w:themeColor="text1"/>
                <w:kern w:val="0"/>
                <w:szCs w:val="21"/>
              </w:rPr>
              <w:t>（20</w:t>
            </w:r>
            <w:r>
              <w:rPr>
                <w:rFonts w:hint="eastAsia" w:ascii="宋体" w:hAnsi="宋体" w:cs="宋体"/>
                <w:color w:val="000000" w:themeColor="text1"/>
                <w:kern w:val="0"/>
                <w:szCs w:val="21"/>
                <w:lang w:val="en-US" w:eastAsia="zh-CN"/>
              </w:rPr>
              <w:t>15</w:t>
            </w:r>
            <w:r>
              <w:rPr>
                <w:rFonts w:hint="eastAsia" w:ascii="宋体" w:hAnsi="宋体" w:cs="宋体"/>
                <w:color w:val="000000" w:themeColor="text1"/>
                <w:kern w:val="0"/>
                <w:szCs w:val="21"/>
              </w:rPr>
              <w:t>）</w:t>
            </w:r>
            <w:r>
              <w:rPr>
                <w:rFonts w:hint="eastAsia" w:ascii="宋体" w:hAnsi="宋体" w:cs="宋体"/>
                <w:color w:val="000000" w:themeColor="text1"/>
                <w:kern w:val="0"/>
                <w:szCs w:val="21"/>
                <w:lang w:val="en-US" w:eastAsia="zh-CN"/>
              </w:rPr>
              <w:t>01</w:t>
            </w:r>
            <w:r>
              <w:rPr>
                <w:rFonts w:hint="eastAsia" w:ascii="宋体" w:hAnsi="宋体" w:cs="宋体"/>
                <w:color w:val="000000" w:themeColor="text1"/>
                <w:kern w:val="0"/>
                <w:szCs w:val="21"/>
              </w:rPr>
              <w:t>1号。</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rFonts w:hint="default" w:eastAsia="宋体"/>
                <w:color w:val="000000"/>
                <w:szCs w:val="21"/>
                <w:lang w:val="en-US" w:eastAsia="zh-CN"/>
              </w:rPr>
            </w:pPr>
            <w:r>
              <w:rPr>
                <w:rFonts w:hint="eastAsia"/>
                <w:color w:val="000000"/>
                <w:szCs w:val="21"/>
              </w:rPr>
              <w:t>注：</w:t>
            </w:r>
            <w:r>
              <w:rPr>
                <w:rFonts w:hint="eastAsia"/>
                <w:color w:val="000000"/>
                <w:szCs w:val="21"/>
                <w:lang w:val="en-US" w:eastAsia="zh-CN"/>
              </w:rPr>
              <w:t>提供有环境监测报告：开创环（检）字（2020）第WT189号</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w:t>
            </w:r>
            <w:r>
              <w:rPr>
                <w:rFonts w:hint="eastAsia"/>
                <w:color w:val="000000"/>
                <w:szCs w:val="21"/>
                <w:lang w:val="en-US" w:eastAsia="zh-CN"/>
              </w:rPr>
              <w:t>60</w:t>
            </w:r>
            <w:r>
              <w:rPr>
                <w:rFonts w:hint="eastAsia"/>
                <w:color w:val="000000"/>
                <w:szCs w:val="21"/>
              </w:rPr>
              <w:t>（管理人数、临时工、季节工）人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auto"/>
                <w:szCs w:val="21"/>
              </w:rPr>
            </w:pPr>
            <w:r>
              <w:rPr>
                <w:rFonts w:hint="eastAsia"/>
                <w:color w:val="auto"/>
                <w:szCs w:val="21"/>
              </w:rPr>
              <w:t>计量器具的管理</w:t>
            </w:r>
          </w:p>
          <w:p>
            <w:pPr>
              <w:rPr>
                <w:color w:val="auto"/>
                <w:szCs w:val="21"/>
              </w:rPr>
            </w:pPr>
            <w:r>
              <w:rPr>
                <w:rFonts w:hint="eastAsia"/>
                <w:color w:val="auto"/>
                <w:szCs w:val="21"/>
              </w:rPr>
              <w:t>强检计量器具的配置符合产品标准的检验要求</w:t>
            </w:r>
          </w:p>
          <w:p>
            <w:pPr>
              <w:rPr>
                <w:color w:val="auto"/>
                <w:szCs w:val="21"/>
              </w:rPr>
            </w:pPr>
          </w:p>
          <w:p>
            <w:pPr>
              <w:rPr>
                <w:rFonts w:ascii="宋体" w:hAnsi="宋体"/>
                <w:color w:val="auto"/>
                <w:szCs w:val="21"/>
              </w:rPr>
            </w:pPr>
            <w:r>
              <w:rPr>
                <w:rFonts w:hint="eastAsia"/>
                <w:color w:val="auto"/>
                <w:szCs w:val="21"/>
              </w:rPr>
              <w:t>强检计量器具全检且在有效期内</w:t>
            </w:r>
          </w:p>
        </w:tc>
        <w:tc>
          <w:tcPr>
            <w:tcW w:w="2814" w:type="dxa"/>
          </w:tcPr>
          <w:p>
            <w:pPr>
              <w:rPr>
                <w:color w:val="auto"/>
                <w:szCs w:val="21"/>
              </w:rPr>
            </w:pPr>
            <w:r>
              <w:rPr>
                <w:rFonts w:hint="eastAsia"/>
                <w:color w:val="auto"/>
                <w:szCs w:val="21"/>
              </w:rPr>
              <w:t>符合</w:t>
            </w:r>
          </w:p>
          <w:p>
            <w:pPr>
              <w:rPr>
                <w:color w:val="auto"/>
                <w:szCs w:val="21"/>
              </w:rPr>
            </w:pPr>
            <w:r>
              <w:rPr>
                <w:rFonts w:hint="eastAsia"/>
                <w:color w:val="auto"/>
                <w:szCs w:val="21"/>
              </w:rPr>
              <w:t>不符合（需说明处置措施）</w:t>
            </w:r>
          </w:p>
          <w:p>
            <w:pPr>
              <w:rPr>
                <w:color w:val="auto"/>
                <w:szCs w:val="21"/>
              </w:rPr>
            </w:pPr>
            <w:r>
              <w:rPr>
                <w:rFonts w:hint="eastAsia"/>
                <w:color w:val="auto"/>
                <w:szCs w:val="21"/>
              </w:rPr>
              <w:t>是</w:t>
            </w:r>
          </w:p>
          <w:p>
            <w:pPr>
              <w:rPr>
                <w:color w:val="auto"/>
                <w:szCs w:val="21"/>
              </w:rPr>
            </w:pPr>
            <w:r>
              <w:rPr>
                <w:rFonts w:hint="eastAsia"/>
                <w:color w:val="auto"/>
                <w:szCs w:val="21"/>
              </w:rPr>
              <w:t>否（需说明处置措施）</w:t>
            </w:r>
          </w:p>
        </w:tc>
        <w:tc>
          <w:tcPr>
            <w:tcW w:w="426" w:type="dxa"/>
          </w:tcPr>
          <w:p>
            <w:pPr>
              <w:rPr>
                <w:color w:val="000000"/>
                <w:szCs w:val="21"/>
              </w:rPr>
            </w:pPr>
            <w:r>
              <w:rPr>
                <w:rFonts w:hint="eastAsia" w:ascii="宋体" w:hAnsi="宋体" w:eastAsia="宋体" w:cs="宋体"/>
                <w:color w:val="000000"/>
                <w:szCs w:val="21"/>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auto"/>
                <w:szCs w:val="21"/>
              </w:rPr>
            </w:pPr>
            <w:r>
              <w:rPr>
                <w:rFonts w:hint="eastAsia"/>
                <w:color w:val="auto"/>
                <w:szCs w:val="21"/>
              </w:rPr>
              <w:t>特种设备的管理</w:t>
            </w:r>
          </w:p>
          <w:p>
            <w:pPr>
              <w:rPr>
                <w:color w:val="auto"/>
                <w:szCs w:val="21"/>
              </w:rPr>
            </w:pPr>
            <w:r>
              <w:rPr>
                <w:rFonts w:hint="eastAsia"/>
                <w:color w:val="auto"/>
                <w:szCs w:val="21"/>
              </w:rPr>
              <w:t>在用特种设备的检定</w:t>
            </w:r>
          </w:p>
          <w:p>
            <w:pPr>
              <w:rPr>
                <w:color w:val="auto"/>
                <w:szCs w:val="21"/>
              </w:rPr>
            </w:pPr>
          </w:p>
          <w:p>
            <w:pPr>
              <w:rPr>
                <w:rFonts w:ascii="宋体" w:hAnsi="宋体"/>
                <w:color w:val="auto"/>
                <w:szCs w:val="21"/>
              </w:rPr>
            </w:pPr>
            <w:r>
              <w:rPr>
                <w:rFonts w:hint="eastAsia"/>
                <w:color w:val="auto"/>
                <w:szCs w:val="21"/>
              </w:rPr>
              <w:t>停用特种设备的管理</w:t>
            </w:r>
          </w:p>
        </w:tc>
        <w:tc>
          <w:tcPr>
            <w:tcW w:w="2814" w:type="dxa"/>
          </w:tcPr>
          <w:p>
            <w:pPr>
              <w:rPr>
                <w:color w:val="auto"/>
                <w:szCs w:val="21"/>
              </w:rPr>
            </w:pPr>
            <w:r>
              <w:rPr>
                <w:rFonts w:hint="eastAsia"/>
                <w:color w:val="auto"/>
                <w:szCs w:val="21"/>
              </w:rPr>
              <w:t>符合</w:t>
            </w:r>
          </w:p>
          <w:p>
            <w:pPr>
              <w:rPr>
                <w:color w:val="auto"/>
                <w:szCs w:val="21"/>
              </w:rPr>
            </w:pPr>
            <w:r>
              <w:rPr>
                <w:rFonts w:hint="eastAsia"/>
                <w:color w:val="auto"/>
                <w:szCs w:val="21"/>
              </w:rPr>
              <w:t>不符合（需说明处置措施）</w:t>
            </w:r>
          </w:p>
          <w:p>
            <w:pPr>
              <w:rPr>
                <w:color w:val="auto"/>
                <w:szCs w:val="21"/>
              </w:rPr>
            </w:pPr>
            <w:r>
              <w:rPr>
                <w:rFonts w:hint="eastAsia"/>
                <w:color w:val="auto"/>
                <w:szCs w:val="21"/>
              </w:rPr>
              <w:t>符合</w:t>
            </w:r>
          </w:p>
          <w:p>
            <w:pPr>
              <w:rPr>
                <w:color w:val="auto"/>
                <w:szCs w:val="21"/>
              </w:rPr>
            </w:pPr>
            <w:r>
              <w:rPr>
                <w:rFonts w:hint="eastAsia"/>
                <w:color w:val="auto"/>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auto"/>
                <w:szCs w:val="21"/>
              </w:rPr>
            </w:pPr>
            <w:r>
              <w:rPr>
                <w:rFonts w:hint="eastAsia"/>
                <w:color w:val="auto"/>
                <w:szCs w:val="21"/>
              </w:rPr>
              <w:t>国家对产品质量抽查报告或型式检验送检报告</w:t>
            </w:r>
          </w:p>
          <w:p>
            <w:pPr>
              <w:adjustRightInd w:val="0"/>
              <w:snapToGrid w:val="0"/>
              <w:rPr>
                <w:color w:val="auto"/>
                <w:szCs w:val="21"/>
              </w:rPr>
            </w:pPr>
          </w:p>
        </w:tc>
        <w:tc>
          <w:tcPr>
            <w:tcW w:w="2814" w:type="dxa"/>
          </w:tcPr>
          <w:p>
            <w:pPr>
              <w:adjustRightInd w:val="0"/>
              <w:snapToGrid w:val="0"/>
              <w:rPr>
                <w:color w:val="auto"/>
                <w:szCs w:val="21"/>
              </w:rPr>
            </w:pPr>
            <w:r>
              <w:rPr>
                <w:rFonts w:hint="eastAsia"/>
                <w:color w:val="auto"/>
                <w:szCs w:val="21"/>
              </w:rPr>
              <w:t>有</w:t>
            </w:r>
          </w:p>
          <w:p>
            <w:pPr>
              <w:adjustRightInd w:val="0"/>
              <w:snapToGrid w:val="0"/>
              <w:rPr>
                <w:color w:val="auto"/>
                <w:szCs w:val="21"/>
              </w:rPr>
            </w:pPr>
            <w:r>
              <w:rPr>
                <w:rFonts w:hint="eastAsia"/>
                <w:color w:val="auto"/>
                <w:szCs w:val="21"/>
              </w:rPr>
              <w:t>无</w:t>
            </w:r>
          </w:p>
          <w:p>
            <w:pPr>
              <w:adjustRightInd w:val="0"/>
              <w:snapToGrid w:val="0"/>
              <w:rPr>
                <w:color w:val="auto"/>
                <w:szCs w:val="21"/>
              </w:rPr>
            </w:pPr>
            <w:r>
              <w:rPr>
                <w:rFonts w:hint="eastAsia"/>
                <w:color w:val="auto"/>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bookmarkStart w:id="2" w:name="_GoBack"/>
            <w:bookmarkEnd w:id="2"/>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sz w:val="24"/>
              </w:rPr>
              <w:drawing>
                <wp:anchor distT="0" distB="0" distL="114300" distR="114300" simplePos="0" relativeHeight="251707392" behindDoc="0" locked="0" layoutInCell="1" allowOverlap="1">
                  <wp:simplePos x="0" y="0"/>
                  <wp:positionH relativeFrom="column">
                    <wp:posOffset>4002405</wp:posOffset>
                  </wp:positionH>
                  <wp:positionV relativeFrom="paragraph">
                    <wp:posOffset>5080</wp:posOffset>
                  </wp:positionV>
                  <wp:extent cx="590550" cy="426720"/>
                  <wp:effectExtent l="0" t="0" r="3810" b="0"/>
                  <wp:wrapNone/>
                  <wp:docPr id="2"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24309\AppData\Local\Temp\WeChat Files\5990baca09647c352f1321b31faa90a.jpg"/>
                          <pic:cNvPicPr>
                            <a:picLocks noChangeAspect="1"/>
                          </pic:cNvPicPr>
                        </pic:nvPicPr>
                        <pic:blipFill>
                          <a:blip r:embed="rId5"/>
                          <a:stretch>
                            <a:fillRect/>
                          </a:stretch>
                        </pic:blipFill>
                        <pic:spPr>
                          <a:xfrm>
                            <a:off x="0" y="0"/>
                            <a:ext cx="590550" cy="426720"/>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日期：2021年03月05日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0059" w:type="dxa"/>
            <w:gridSpan w:val="4"/>
            <w:vAlign w:val="center"/>
          </w:tcPr>
          <w:p>
            <w:pPr>
              <w:rPr>
                <w:color w:val="000000"/>
                <w:szCs w:val="21"/>
              </w:rPr>
            </w:pPr>
            <w:r>
              <w:rPr>
                <w:rFonts w:hint="eastAsia"/>
                <w:color w:val="000000"/>
                <w:szCs w:val="21"/>
              </w:rPr>
              <w:t>备注：需二阶段组长核实的问题</w:t>
            </w:r>
          </w:p>
          <w:p>
            <w:pPr>
              <w:rPr>
                <w:rFonts w:hint="eastAsia" w:eastAsia="宋体"/>
                <w:color w:val="000000"/>
                <w:szCs w:val="21"/>
                <w:lang w:eastAsia="zh-CN"/>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日期：2021年03月05日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D34ED8"/>
    <w:rsid w:val="0DA97BE7"/>
    <w:rsid w:val="1C5B61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3</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小冉</cp:lastModifiedBy>
  <dcterms:modified xsi:type="dcterms:W3CDTF">2021-03-08T08:08:45Z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