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重庆博鼎建筑设计有限公司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皮为兵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bookmarkStart w:id="7" w:name="_GoBack"/>
            <w:r>
              <w:rPr>
                <w:rFonts w:hint="eastAsia"/>
                <w:b/>
                <w:sz w:val="20"/>
                <w:szCs w:val="22"/>
              </w:rPr>
              <w:t>资质范围内建筑工程设计</w:t>
            </w:r>
            <w:bookmarkEnd w:id="6"/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bookmarkEnd w:id="7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zh-CN" w:eastAsia="zh-CN"/>
              </w:rPr>
            </w:pP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设计过程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GB50010-2010《混凝土结构设计规范》、GB50011-2010《建筑抗震设计规范》、GB50013-2006《室外给水设计规范》、GB50014-2006《室外排水设计规范》、《建筑工程设计文件编制深度规定》、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《民用建筑设计通则》GB50352-2005《建筑工程建筑面积计算规范》GB/T 50353-2013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 xml:space="preserve"> 2019年10月17日    审核组长：      日期：2019年10月17日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C86318"/>
    <w:rsid w:val="4A33539F"/>
    <w:rsid w:val="66567FCD"/>
    <w:rsid w:val="69502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2019-10-21T12:42:53Z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