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bCs/>
          <w:sz w:val="24"/>
          <w:szCs w:val="24"/>
        </w:rPr>
      </w:pPr>
      <w:bookmarkStart w:id="0" w:name="合同编号"/>
      <w:r>
        <w:rPr>
          <w:rFonts w:hint="eastAsia"/>
          <w:b/>
          <w:bCs/>
          <w:sz w:val="24"/>
          <w:szCs w:val="24"/>
          <w:lang w:val="en-US" w:eastAsia="zh-CN"/>
        </w:rPr>
        <w:t>编号：</w:t>
      </w:r>
      <w:r>
        <w:rPr>
          <w:b/>
          <w:bCs/>
          <w:sz w:val="24"/>
          <w:szCs w:val="24"/>
        </w:rPr>
        <w:t>0533-2019-QEO-2021</w:t>
      </w:r>
      <w:bookmarkEnd w:id="0"/>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cs="Times New Roman"/>
          <w:b/>
          <w:color w:val="000000"/>
          <w:sz w:val="32"/>
          <w:szCs w:val="32"/>
        </w:rPr>
        <w:t>四川鸿源环境检测技术咨询有限公司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2018-N1QMS-1230067</w:t>
            </w:r>
          </w:p>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Q:34.02.00</w:t>
            </w:r>
          </w:p>
          <w:p>
            <w:pPr>
              <w:jc w:val="center"/>
              <w:rPr>
                <w:b/>
                <w:sz w:val="21"/>
                <w:szCs w:val="21"/>
              </w:rPr>
            </w:pPr>
            <w:r>
              <w:rPr>
                <w:b/>
                <w:sz w:val="21"/>
                <w:szCs w:val="21"/>
              </w:rPr>
              <w:t>E:34.02.00</w:t>
            </w:r>
          </w:p>
          <w:p>
            <w:pPr>
              <w:jc w:val="center"/>
              <w:rPr>
                <w:b/>
                <w:sz w:val="21"/>
                <w:szCs w:val="21"/>
              </w:rPr>
            </w:pPr>
            <w:r>
              <w:rPr>
                <w:b/>
                <w:sz w:val="21"/>
                <w:szCs w:val="21"/>
              </w:rPr>
              <w:t>O:34.02.00</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宋明珠</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2020-N1QMS-1247783</w:t>
            </w:r>
          </w:p>
          <w:p>
            <w:pPr>
              <w:jc w:val="center"/>
              <w:rPr>
                <w:b/>
                <w:sz w:val="21"/>
                <w:szCs w:val="21"/>
              </w:rPr>
            </w:pPr>
            <w:r>
              <w:rPr>
                <w:b/>
                <w:sz w:val="21"/>
                <w:szCs w:val="21"/>
              </w:rPr>
              <w:t>2019-N1EMS-1247783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余家龙</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2020-N1QMS-1262293</w:t>
            </w:r>
          </w:p>
          <w:p>
            <w:pPr>
              <w:jc w:val="center"/>
              <w:rPr>
                <w:b/>
                <w:sz w:val="21"/>
                <w:szCs w:val="21"/>
              </w:rPr>
            </w:pPr>
            <w:r>
              <w:rPr>
                <w:b/>
                <w:sz w:val="21"/>
                <w:szCs w:val="21"/>
              </w:rPr>
              <w:t>2020-N1EMS-1262293</w:t>
            </w:r>
          </w:p>
        </w:tc>
        <w:tc>
          <w:tcPr>
            <w:tcW w:w="1728" w:type="dxa"/>
            <w:gridSpan w:val="2"/>
            <w:vAlign w:val="center"/>
          </w:tcPr>
          <w:p>
            <w:pPr>
              <w:jc w:val="center"/>
              <w:rPr>
                <w:b/>
                <w:sz w:val="21"/>
                <w:szCs w:val="21"/>
              </w:rPr>
            </w:pPr>
            <w:r>
              <w:rPr>
                <w:b/>
                <w:sz w:val="21"/>
                <w:szCs w:val="21"/>
              </w:rPr>
              <w:t>Q:34.02.00</w:t>
            </w:r>
          </w:p>
          <w:p>
            <w:pPr>
              <w:jc w:val="center"/>
              <w:rPr>
                <w:b/>
                <w:sz w:val="21"/>
                <w:szCs w:val="21"/>
              </w:rPr>
            </w:pPr>
            <w:r>
              <w:rPr>
                <w:b/>
                <w:sz w:val="21"/>
                <w:szCs w:val="21"/>
              </w:rPr>
              <w:t>E:34.02.00</w:t>
            </w:r>
          </w:p>
        </w:tc>
        <w:tc>
          <w:tcPr>
            <w:tcW w:w="1729" w:type="dxa"/>
            <w:gridSpan w:val="2"/>
            <w:vAlign w:val="center"/>
          </w:tcPr>
          <w:p>
            <w:pPr>
              <w:jc w:val="center"/>
              <w:rPr>
                <w:b/>
                <w:sz w:val="21"/>
                <w:szCs w:val="21"/>
              </w:rPr>
            </w:pPr>
            <w:r>
              <w:rPr>
                <w:b/>
                <w:sz w:val="21"/>
                <w:szCs w:val="21"/>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陈伟</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E:实习审核员</w:t>
            </w:r>
          </w:p>
        </w:tc>
        <w:tc>
          <w:tcPr>
            <w:tcW w:w="1699" w:type="dxa"/>
            <w:vAlign w:val="center"/>
          </w:tcPr>
          <w:p>
            <w:pPr>
              <w:jc w:val="center"/>
              <w:rPr>
                <w:b/>
                <w:sz w:val="21"/>
                <w:szCs w:val="21"/>
              </w:rPr>
            </w:pPr>
            <w:r>
              <w:rPr>
                <w:b/>
                <w:sz w:val="21"/>
                <w:szCs w:val="21"/>
              </w:rPr>
              <w:t>2020-N1QMS-1265256</w:t>
            </w:r>
          </w:p>
          <w:p>
            <w:pPr>
              <w:jc w:val="center"/>
              <w:rPr>
                <w:b/>
                <w:sz w:val="21"/>
                <w:szCs w:val="21"/>
              </w:rPr>
            </w:pPr>
            <w:r>
              <w:rPr>
                <w:b/>
                <w:sz w:val="21"/>
                <w:szCs w:val="21"/>
              </w:rPr>
              <w:t>2020-N0EMS-1265256</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ISC-265256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r>
        <w:rPr>
          <w:rFonts w:hint="eastAsia"/>
          <w:b/>
          <w:sz w:val="21"/>
          <w:szCs w:val="21"/>
          <w:lang w:val="en-US" w:eastAsia="zh-CN"/>
        </w:rPr>
        <w:t>□</w:t>
      </w:r>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sz w:val="21"/>
                <w:szCs w:val="22"/>
              </w:rPr>
              <w:t>四川鸿源环境检测技术咨询有限公司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109人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成都市高新区科园三路4号1栋3层3、4号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610500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四川省成都市高新区高朋大道17号吉泰安中心1栋1201</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610500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四川省成都市高新区高朋大道17号吉泰安中心1栋1201</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610500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解小丽</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13730638797</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庞敏</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hint="eastAsia" w:ascii="宋体" w:hAnsi="宋体"/>
                <w:b/>
                <w:sz w:val="21"/>
                <w:szCs w:val="21"/>
                <w:lang w:eastAsia="zh-CN"/>
              </w:rPr>
              <w:t>谢国莉</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苏萍</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2021年03月05日 上午至2021年03月0</w:t>
            </w:r>
            <w:r>
              <w:rPr>
                <w:rFonts w:hint="eastAsia" w:ascii="宋体" w:hAnsi="宋体"/>
                <w:b/>
                <w:sz w:val="21"/>
                <w:szCs w:val="21"/>
                <w:lang w:val="en-US" w:eastAsia="zh-CN"/>
              </w:rPr>
              <w:t>6</w:t>
            </w:r>
            <w:r>
              <w:rPr>
                <w:rFonts w:ascii="宋体" w:hAnsi="宋体"/>
                <w:b/>
                <w:sz w:val="21"/>
                <w:szCs w:val="21"/>
              </w:rPr>
              <w:t xml:space="preserve">日 </w:t>
            </w:r>
            <w:r>
              <w:rPr>
                <w:rFonts w:hint="eastAsia" w:ascii="宋体" w:hAnsi="宋体"/>
                <w:b/>
                <w:sz w:val="21"/>
                <w:szCs w:val="21"/>
                <w:lang w:val="en-US" w:eastAsia="zh-CN"/>
              </w:rPr>
              <w:t>上</w:t>
            </w:r>
            <w:r>
              <w:rPr>
                <w:rFonts w:ascii="宋体" w:hAnsi="宋体"/>
                <w:b/>
                <w:sz w:val="21"/>
                <w:szCs w:val="21"/>
              </w:rPr>
              <w:t>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20" w:lineRule="exact"/>
              <w:rPr>
                <w:rFonts w:hint="eastAsia" w:ascii="宋体" w:hAnsi="宋体" w:eastAsia="宋体"/>
                <w:b/>
                <w:color w:val="000000" w:themeColor="text1"/>
                <w:sz w:val="20"/>
                <w:szCs w:val="20"/>
                <w:u w:val="single"/>
                <w:lang w:val="en-US" w:eastAsia="zh-CN"/>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E勾选Add1"/>
            <w:r>
              <w:rPr>
                <w:rFonts w:ascii="宋体" w:hAnsi="宋体"/>
                <w:b/>
                <w:color w:val="000000" w:themeColor="text1"/>
                <w:sz w:val="20"/>
                <w:szCs w:val="20"/>
              </w:rPr>
              <w:t>资质范围内的环境监测服务、环境验收服务、职业病危害因素检测与评价、放射性卫生防护检测与评价 、公共卫生检测</w:t>
            </w:r>
            <w:r>
              <w:rPr>
                <w:rFonts w:hint="eastAsia" w:ascii="宋体" w:hAnsi="宋体"/>
                <w:b/>
                <w:color w:val="000000" w:themeColor="text1"/>
                <w:sz w:val="20"/>
                <w:szCs w:val="20"/>
                <w:lang w:eastAsia="zh-CN"/>
              </w:rPr>
              <w:t>。</w:t>
            </w:r>
          </w:p>
          <w:p>
            <w:pPr>
              <w:spacing w:line="360" w:lineRule="exact"/>
              <w:rPr>
                <w:rFonts w:hint="eastAsia" w:ascii="宋体" w:hAnsi="宋体" w:eastAsia="宋体"/>
                <w:b/>
                <w:sz w:val="21"/>
                <w:szCs w:val="21"/>
                <w:lang w:eastAsia="zh-CN"/>
              </w:rPr>
            </w:pPr>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rFonts w:ascii="宋体" w:hAnsi="宋体"/>
                <w:b/>
                <w:color w:val="000000" w:themeColor="text1"/>
                <w:sz w:val="20"/>
                <w:szCs w:val="20"/>
              </w:rPr>
              <w:t>资质范围内的环境监测服务、环境验收服务、职业病害因素检测与评价、放射性卫生防护检测与评价 、公共卫生检测所涉及的相关环境管理活动</w:t>
            </w:r>
            <w:r>
              <w:rPr>
                <w:rFonts w:hint="eastAsia" w:ascii="宋体" w:hAnsi="宋体"/>
                <w:b/>
                <w:color w:val="000000" w:themeColor="text1"/>
                <w:sz w:val="20"/>
                <w:szCs w:val="20"/>
                <w:lang w:eastAsia="zh-CN"/>
              </w:rPr>
              <w:t>。</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rFonts w:ascii="宋体" w:hAnsi="宋体"/>
                <w:b/>
                <w:color w:val="000000" w:themeColor="text1"/>
                <w:sz w:val="20"/>
                <w:szCs w:val="20"/>
              </w:rPr>
              <w:t>资质范围内的环境监测服务、环境验收服务、职业病危害因素检测与评价、放射性卫生防护检测与评价 、公共卫生检测所涉及的相关职业健康安全管理活动。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vAlign w:val="top"/>
          </w:tcPr>
          <w:p>
            <w:pPr>
              <w:numPr>
                <w:ilvl w:val="0"/>
                <w:numId w:val="0"/>
              </w:numPr>
              <w:rPr>
                <w:rFonts w:hint="eastAsia"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r>
              <w:rPr>
                <w:rFonts w:hint="eastAsia" w:ascii="宋体" w:hAnsi="宋体"/>
                <w:b/>
                <w:sz w:val="21"/>
                <w:szCs w:val="21"/>
              </w:rPr>
              <w:t>人数变更：原人数：</w:t>
            </w:r>
            <w:r>
              <w:rPr>
                <w:rFonts w:hint="eastAsia" w:ascii="宋体" w:hAnsi="宋体"/>
                <w:b/>
                <w:sz w:val="21"/>
                <w:szCs w:val="21"/>
                <w:lang w:val="en-US" w:eastAsia="zh-CN"/>
              </w:rPr>
              <w:t>44</w:t>
            </w:r>
            <w:r>
              <w:rPr>
                <w:rFonts w:hint="eastAsia" w:ascii="宋体" w:hAnsi="宋体"/>
                <w:b/>
                <w:sz w:val="21"/>
                <w:szCs w:val="21"/>
              </w:rPr>
              <w:t>人；</w:t>
            </w:r>
          </w:p>
          <w:p>
            <w:pPr>
              <w:numPr>
                <w:ilvl w:val="0"/>
                <w:numId w:val="0"/>
              </w:numPr>
              <w:rPr>
                <w:rFonts w:hint="eastAsia" w:ascii="宋体" w:hAnsi="宋体"/>
                <w:b/>
                <w:sz w:val="21"/>
                <w:szCs w:val="21"/>
              </w:rPr>
            </w:pPr>
            <w:r>
              <w:rPr>
                <w:rFonts w:hint="eastAsia" w:ascii="宋体" w:hAnsi="宋体"/>
                <w:b/>
                <w:sz w:val="21"/>
                <w:szCs w:val="21"/>
              </w:rPr>
              <w:t xml:space="preserve">            </w:t>
            </w:r>
            <w:r>
              <w:rPr>
                <w:rFonts w:hint="eastAsia" w:ascii="宋体" w:hAnsi="宋体"/>
                <w:b/>
                <w:sz w:val="21"/>
                <w:szCs w:val="21"/>
                <w:lang w:val="en-US" w:eastAsia="zh-CN"/>
              </w:rPr>
              <w:t xml:space="preserve">                </w:t>
            </w:r>
            <w:r>
              <w:rPr>
                <w:rFonts w:hint="eastAsia" w:ascii="宋体" w:hAnsi="宋体"/>
                <w:b/>
                <w:sz w:val="21"/>
                <w:szCs w:val="21"/>
              </w:rPr>
              <w:t>现人数：</w:t>
            </w:r>
            <w:r>
              <w:rPr>
                <w:rFonts w:hint="eastAsia" w:ascii="宋体" w:hAnsi="宋体"/>
                <w:b/>
                <w:sz w:val="21"/>
                <w:szCs w:val="21"/>
                <w:lang w:val="en-US" w:eastAsia="zh-CN"/>
              </w:rPr>
              <w:t>10</w:t>
            </w:r>
            <w:r>
              <w:rPr>
                <w:rFonts w:hint="eastAsia" w:ascii="宋体" w:hAnsi="宋体"/>
                <w:b/>
                <w:sz w:val="21"/>
                <w:szCs w:val="21"/>
              </w:rPr>
              <w:t>9人。</w:t>
            </w:r>
          </w:p>
          <w:p>
            <w:pPr>
              <w:spacing w:line="360" w:lineRule="exact"/>
              <w:rPr>
                <w:rFonts w:ascii="宋体" w:hAnsi="宋体"/>
                <w:b/>
                <w:sz w:val="21"/>
                <w:szCs w:val="21"/>
              </w:rPr>
            </w:pP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Q：34.02.00</w:t>
            </w:r>
          </w:p>
          <w:p>
            <w:pPr>
              <w:spacing w:line="260" w:lineRule="exact"/>
              <w:rPr>
                <w:rFonts w:ascii="宋体" w:hAnsi="宋体"/>
                <w:b/>
                <w:sz w:val="21"/>
                <w:szCs w:val="21"/>
              </w:rPr>
            </w:pPr>
            <w:r>
              <w:rPr>
                <w:rFonts w:ascii="宋体" w:hAnsi="宋体"/>
                <w:b/>
                <w:sz w:val="21"/>
                <w:szCs w:val="21"/>
              </w:rPr>
              <w:t>E：34.02.00</w:t>
            </w:r>
          </w:p>
          <w:p>
            <w:pPr>
              <w:spacing w:line="260" w:lineRule="exact"/>
              <w:rPr>
                <w:rFonts w:ascii="宋体" w:hAnsi="宋体"/>
                <w:b/>
                <w:sz w:val="21"/>
                <w:szCs w:val="21"/>
              </w:rPr>
            </w:pPr>
            <w:r>
              <w:rPr>
                <w:rFonts w:ascii="宋体" w:hAnsi="宋体"/>
                <w:b/>
                <w:sz w:val="21"/>
                <w:szCs w:val="21"/>
              </w:rPr>
              <w:t>O：34.02.00</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2022.11.5</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2019.11.2-11.4</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highlight w:val="green"/>
        </w:rPr>
      </w:pPr>
      <w:r>
        <w:rPr>
          <w:rFonts w:ascii="宋体" w:hAnsi="宋体"/>
          <w:b/>
          <w:sz w:val="21"/>
          <w:szCs w:val="21"/>
        </w:rPr>
        <w:t xml:space="preserve">4. </w:t>
      </w:r>
      <w:r>
        <w:rPr>
          <w:rFonts w:hint="eastAsia" w:ascii="宋体" w:hAnsi="宋体"/>
          <w:b/>
          <w:sz w:val="21"/>
          <w:szCs w:val="21"/>
        </w:rPr>
        <w:t>本次审核覆盖时间：</w:t>
      </w:r>
      <w:r>
        <w:rPr>
          <w:rFonts w:hint="eastAsia" w:ascii="宋体" w:hAnsi="宋体"/>
          <w:b/>
          <w:sz w:val="21"/>
          <w:szCs w:val="21"/>
          <w:highlight w:val="none"/>
        </w:rPr>
        <w:t>从上次审核结束日的</w:t>
      </w:r>
      <w:r>
        <w:rPr>
          <w:rFonts w:hint="eastAsia" w:ascii="宋体" w:hAnsi="宋体"/>
          <w:b/>
          <w:sz w:val="21"/>
          <w:szCs w:val="21"/>
          <w:highlight w:val="none"/>
          <w:lang w:val="en-US" w:eastAsia="zh-CN"/>
        </w:rPr>
        <w:t xml:space="preserve"> 2019 </w:t>
      </w:r>
      <w:r>
        <w:rPr>
          <w:rFonts w:hint="eastAsia" w:ascii="宋体" w:hAnsi="宋体"/>
          <w:b/>
          <w:sz w:val="21"/>
          <w:szCs w:val="21"/>
          <w:highlight w:val="none"/>
        </w:rPr>
        <w:t>年</w:t>
      </w:r>
      <w:r>
        <w:rPr>
          <w:rFonts w:hint="eastAsia" w:ascii="宋体" w:hAnsi="宋体"/>
          <w:b/>
          <w:sz w:val="21"/>
          <w:szCs w:val="21"/>
          <w:highlight w:val="none"/>
          <w:lang w:val="en-US" w:eastAsia="zh-CN"/>
        </w:rPr>
        <w:t>11</w:t>
      </w:r>
      <w:r>
        <w:rPr>
          <w:rFonts w:hint="eastAsia" w:ascii="宋体" w:hAnsi="宋体"/>
          <w:b/>
          <w:sz w:val="21"/>
          <w:szCs w:val="21"/>
          <w:highlight w:val="none"/>
        </w:rPr>
        <w:t>月</w:t>
      </w:r>
      <w:r>
        <w:rPr>
          <w:rFonts w:hint="eastAsia" w:ascii="宋体" w:hAnsi="宋体"/>
          <w:b/>
          <w:sz w:val="21"/>
          <w:szCs w:val="21"/>
          <w:highlight w:val="none"/>
          <w:lang w:val="en-US" w:eastAsia="zh-CN"/>
        </w:rPr>
        <w:t>4</w:t>
      </w:r>
      <w:r>
        <w:rPr>
          <w:rFonts w:hint="eastAsia" w:ascii="宋体" w:hAnsi="宋体"/>
          <w:b/>
          <w:sz w:val="21"/>
          <w:szCs w:val="21"/>
          <w:highlight w:val="none"/>
        </w:rPr>
        <w:t>日至</w:t>
      </w:r>
      <w:r>
        <w:rPr>
          <w:rFonts w:hint="eastAsia" w:ascii="宋体" w:hAnsi="宋体"/>
          <w:b/>
          <w:sz w:val="21"/>
          <w:szCs w:val="21"/>
          <w:highlight w:val="none"/>
          <w:lang w:val="en-US" w:eastAsia="zh-CN"/>
        </w:rPr>
        <w:t>2021</w:t>
      </w:r>
      <w:r>
        <w:rPr>
          <w:rFonts w:hint="eastAsia" w:ascii="宋体" w:hAnsi="宋体"/>
          <w:b/>
          <w:sz w:val="21"/>
          <w:szCs w:val="21"/>
          <w:highlight w:val="none"/>
        </w:rPr>
        <w:t>年</w:t>
      </w:r>
      <w:r>
        <w:rPr>
          <w:rFonts w:hint="eastAsia" w:ascii="宋体" w:hAnsi="宋体"/>
          <w:b/>
          <w:sz w:val="21"/>
          <w:szCs w:val="21"/>
          <w:highlight w:val="none"/>
          <w:lang w:val="en-US" w:eastAsia="zh-CN"/>
        </w:rPr>
        <w:t>3</w:t>
      </w:r>
      <w:r>
        <w:rPr>
          <w:rFonts w:hint="eastAsia" w:ascii="宋体" w:hAnsi="宋体"/>
          <w:b/>
          <w:sz w:val="21"/>
          <w:szCs w:val="21"/>
          <w:highlight w:val="none"/>
        </w:rPr>
        <w:t>月</w:t>
      </w:r>
      <w:r>
        <w:rPr>
          <w:rFonts w:hint="eastAsia" w:ascii="宋体" w:hAnsi="宋体"/>
          <w:b/>
          <w:sz w:val="21"/>
          <w:szCs w:val="21"/>
          <w:highlight w:val="none"/>
          <w:lang w:val="en-US" w:eastAsia="zh-CN"/>
        </w:rPr>
        <w:t>6</w:t>
      </w:r>
      <w:r>
        <w:rPr>
          <w:rFonts w:hint="eastAsia" w:ascii="宋体" w:hAnsi="宋体"/>
          <w:b/>
          <w:sz w:val="21"/>
          <w:szCs w:val="21"/>
          <w:highlight w:val="none"/>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400" w:lineRule="exact"/>
              <w:ind w:firstLine="420" w:firstLineChars="200"/>
              <w:jc w:val="left"/>
              <w:rPr>
                <w:rFonts w:hint="eastAsia" w:ascii="宋体" w:hAnsi="宋体"/>
                <w:b/>
                <w:sz w:val="21"/>
                <w:szCs w:val="21"/>
              </w:rPr>
            </w:pPr>
            <w:r>
              <w:rPr>
                <w:rFonts w:hint="eastAsia" w:ascii="宋体" w:hAnsi="宋体" w:eastAsia="宋体" w:cs="Times New Roman"/>
                <w:sz w:val="21"/>
                <w:szCs w:val="21"/>
                <w:highlight w:val="none"/>
              </w:rPr>
              <w:t>四川鸿源环境检测技术咨询有限公司成立于2009年，注册资本1000万元，主要经营业务为：资质范围内的环境监测服务、环境验收服务、职业病危害因素检测与评价、放射性卫生防护检测与评价 、公共卫生检测。</w:t>
            </w:r>
            <w:r>
              <w:rPr>
                <w:rFonts w:hint="eastAsia" w:ascii="宋体" w:hAnsi="宋体"/>
                <w:sz w:val="21"/>
                <w:szCs w:val="21"/>
                <w:highlight w:val="none"/>
              </w:rPr>
              <w:t>现有员工数</w:t>
            </w:r>
            <w:r>
              <w:rPr>
                <w:rFonts w:hint="eastAsia" w:ascii="宋体" w:hAnsi="宋体"/>
                <w:sz w:val="21"/>
                <w:szCs w:val="21"/>
                <w:highlight w:val="none"/>
                <w:lang w:val="en-US" w:eastAsia="zh-CN"/>
              </w:rPr>
              <w:t>32</w:t>
            </w:r>
            <w:r>
              <w:rPr>
                <w:rFonts w:hint="eastAsia" w:ascii="宋体" w:hAnsi="宋体"/>
                <w:sz w:val="21"/>
                <w:szCs w:val="21"/>
                <w:highlight w:val="none"/>
              </w:rPr>
              <w:t>人，经营状况良好。组织对内外部因素、相关方需求和期望进行了充分的识别，策划和实施有效。确定了体系的边界，基本适用。管理体系8.3不适用，理由合理。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rPr>
                <w:rFonts w:hint="eastAsia"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jc w:val="left"/>
              <w:rPr>
                <w:rFonts w:hint="eastAsia" w:ascii="宋体" w:hAnsi="宋体" w:eastAsia="宋体"/>
                <w:b/>
                <w:sz w:val="21"/>
                <w:szCs w:val="21"/>
                <w:lang w:eastAsia="zh-CN"/>
              </w:rPr>
            </w:pPr>
            <w:r>
              <w:rPr>
                <w:rFonts w:hint="eastAsia" w:ascii="宋体" w:hAnsi="宋体" w:cs="宋体"/>
                <w:color w:val="000000"/>
                <w:sz w:val="21"/>
                <w:szCs w:val="21"/>
                <w:lang w:eastAsia="zh-CN"/>
              </w:rPr>
              <w:t>■</w:t>
            </w:r>
            <w:r>
              <w:rPr>
                <w:rFonts w:hint="eastAsia" w:ascii="宋体" w:hAnsi="宋体" w:cs="宋体"/>
                <w:color w:val="000000"/>
                <w:sz w:val="21"/>
                <w:szCs w:val="21"/>
              </w:rPr>
              <w:t>质量/</w:t>
            </w:r>
            <w:r>
              <w:rPr>
                <w:rFonts w:hint="eastAsia" w:ascii="宋体" w:hAnsi="宋体" w:cs="宋体"/>
                <w:color w:val="000000"/>
                <w:sz w:val="21"/>
                <w:szCs w:val="21"/>
                <w:lang w:eastAsia="zh-CN"/>
              </w:rPr>
              <w:t>■</w:t>
            </w:r>
            <w:r>
              <w:rPr>
                <w:rFonts w:hint="eastAsia" w:ascii="宋体" w:hAnsi="宋体" w:cs="宋体"/>
                <w:color w:val="000000"/>
                <w:sz w:val="21"/>
                <w:szCs w:val="21"/>
              </w:rPr>
              <w:t>环境/</w:t>
            </w:r>
            <w:r>
              <w:rPr>
                <w:rFonts w:hint="eastAsia" w:ascii="宋体" w:hAnsi="宋体" w:cs="宋体"/>
                <w:color w:val="000000"/>
                <w:sz w:val="21"/>
                <w:szCs w:val="21"/>
                <w:lang w:eastAsia="zh-CN"/>
              </w:rPr>
              <w:t>■</w:t>
            </w:r>
            <w:r>
              <w:rPr>
                <w:rFonts w:hint="eastAsia" w:ascii="宋体" w:hAnsi="宋体" w:cs="宋体"/>
                <w:color w:val="000000"/>
                <w:sz w:val="21"/>
                <w:szCs w:val="21"/>
              </w:rPr>
              <w:t>职业健康安全方针（组织方针的适宜性/持续适宜性、方针的传达及职工的理解等）组织的质量、环境、职业健康安全方针：“</w:t>
            </w:r>
            <w:r>
              <w:rPr>
                <w:rFonts w:hint="eastAsia" w:hAnsi="宋体" w:cs="宋体"/>
                <w:sz w:val="21"/>
                <w:szCs w:val="21"/>
              </w:rPr>
              <w:t>竭诚服务、顾客至上；节能降耗、绿色环保；以人为本、持续改进</w:t>
            </w:r>
            <w:r>
              <w:rPr>
                <w:rFonts w:hint="eastAsia" w:ascii="宋体" w:hAnsi="宋体" w:cs="宋体"/>
                <w:color w:val="000000"/>
                <w:sz w:val="21"/>
                <w:szCs w:val="21"/>
              </w:rPr>
              <w:t>”。最高管理者组织制定了方针：现行的质量</w:t>
            </w:r>
            <w:r>
              <w:rPr>
                <w:rFonts w:hint="eastAsia" w:ascii="宋体" w:hAnsi="宋体" w:cs="宋体"/>
                <w:color w:val="000000"/>
                <w:sz w:val="21"/>
                <w:szCs w:val="21"/>
                <w:lang w:eastAsia="zh-CN"/>
              </w:rPr>
              <w:t>、环境、</w:t>
            </w:r>
            <w:r>
              <w:rPr>
                <w:rFonts w:hint="eastAsia" w:ascii="宋体" w:hAnsi="宋体" w:cs="宋体"/>
                <w:color w:val="000000"/>
                <w:sz w:val="21"/>
                <w:szCs w:val="21"/>
              </w:rPr>
              <w:t>职业健康安全方针在</w:t>
            </w:r>
            <w:r>
              <w:rPr>
                <w:rFonts w:hint="eastAsia" w:ascii="宋体" w:hAnsi="宋体" w:cs="宋体"/>
                <w:color w:val="000000"/>
                <w:sz w:val="21"/>
                <w:szCs w:val="21"/>
                <w:lang w:eastAsia="zh-CN"/>
              </w:rPr>
              <w:t>管理</w:t>
            </w:r>
            <w:r>
              <w:rPr>
                <w:rFonts w:hint="eastAsia" w:ascii="宋体" w:hAnsi="宋体" w:cs="宋体"/>
                <w:color w:val="000000"/>
                <w:sz w:val="21"/>
                <w:szCs w:val="21"/>
              </w:rPr>
              <w:t>手册有专门的释议，具备适宜性。通过会议、张贴等方式进行传达宣贯，管理绩效表明其方针能够通过管理体系加以有效实施、实现及动态管理，实际未发生变更</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hint="eastAsia"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质量管理体系过程有：合同评审、服务管理过程。</w:t>
            </w:r>
          </w:p>
          <w:p>
            <w:pPr>
              <w:tabs>
                <w:tab w:val="left" w:pos="540"/>
              </w:tabs>
              <w:spacing w:line="300" w:lineRule="exact"/>
              <w:ind w:left="201" w:hanging="201" w:hangingChars="100"/>
              <w:rPr>
                <w:rFonts w:ascii="宋体" w:hAnsi="宋体"/>
                <w:b/>
                <w:sz w:val="20"/>
                <w:szCs w:val="20"/>
                <w:u w:val="single"/>
              </w:rPr>
            </w:pPr>
            <w:r>
              <w:rPr>
                <w:rFonts w:hint="eastAsia" w:ascii="宋体" w:hAnsi="宋体"/>
                <w:b/>
                <w:sz w:val="20"/>
                <w:szCs w:val="20"/>
              </w:rPr>
              <w:t>其中关键过程有：检测。</w:t>
            </w:r>
          </w:p>
          <w:p>
            <w:pPr>
              <w:tabs>
                <w:tab w:val="left" w:pos="540"/>
              </w:tabs>
              <w:spacing w:line="300" w:lineRule="exact"/>
              <w:ind w:left="201" w:hanging="201" w:hangingChars="100"/>
              <w:rPr>
                <w:rFonts w:ascii="宋体" w:hAnsi="宋体"/>
                <w:b/>
                <w:sz w:val="20"/>
                <w:szCs w:val="20"/>
                <w:u w:val="single"/>
              </w:rPr>
            </w:pPr>
            <w:r>
              <w:rPr>
                <w:rFonts w:hint="eastAsia" w:ascii="宋体" w:hAnsi="宋体"/>
                <w:b/>
                <w:sz w:val="20"/>
                <w:szCs w:val="20"/>
              </w:rPr>
              <w:t xml:space="preserve">需要确认过程：无。 </w:t>
            </w:r>
          </w:p>
          <w:p>
            <w:pPr>
              <w:tabs>
                <w:tab w:val="left" w:pos="540"/>
              </w:tabs>
              <w:spacing w:line="300" w:lineRule="exact"/>
              <w:ind w:left="211" w:hanging="201" w:hangingChars="100"/>
              <w:rPr>
                <w:rFonts w:ascii="宋体" w:hAnsi="宋体"/>
                <w:b/>
                <w:sz w:val="21"/>
                <w:szCs w:val="21"/>
              </w:rPr>
            </w:pP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u w:val="single"/>
              </w:rPr>
              <w:t xml:space="preserve">Q8.3  </w:t>
            </w:r>
            <w:r>
              <w:rPr>
                <w:rFonts w:hint="eastAsia" w:ascii="宋体" w:hAnsi="宋体"/>
                <w:b/>
                <w:color w:val="000000" w:themeColor="text1"/>
                <w:sz w:val="20"/>
                <w:szCs w:val="20"/>
              </w:rPr>
              <w:t xml:space="preserve"> ，不适用理由：</w:t>
            </w:r>
            <w:r>
              <w:rPr>
                <w:rFonts w:hint="eastAsia" w:ascii="宋体" w:hAnsi="宋体"/>
                <w:color w:val="000000"/>
                <w:sz w:val="21"/>
                <w:szCs w:val="21"/>
                <w:u w:val="single"/>
              </w:rPr>
              <w:t>公司依据国家及行业标准进行服务，服务模式固定，不涉及新服务的开发，故GB/T19001-2016标准第8.3条款不适用</w:t>
            </w:r>
            <w:r>
              <w:rPr>
                <w:rFonts w:hint="eastAsia" w:ascii="宋体" w:hAnsi="宋体"/>
                <w:color w:val="000000" w:themeColor="text1"/>
                <w:sz w:val="21"/>
                <w:szCs w:val="21"/>
                <w:u w:val="single"/>
              </w:rPr>
              <w:t>，理由基本合理。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hint="eastAsia" w:ascii="宋体" w:hAnsi="宋体" w:eastAsiaTheme="minorEastAsia"/>
                <w:b/>
                <w:sz w:val="21"/>
                <w:szCs w:val="21"/>
                <w:lang w:eastAsia="zh-CN"/>
              </w:rPr>
            </w:pPr>
            <w:r>
              <w:rPr>
                <w:rFonts w:hint="eastAsia" w:asciiTheme="minorEastAsia" w:hAnsiTheme="minorEastAsia" w:eastAsiaTheme="minor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hint="eastAsia" w:ascii="宋体" w:hAnsi="宋体"/>
                <w:b/>
                <w:sz w:val="21"/>
                <w:szCs w:val="21"/>
              </w:rPr>
            </w:pPr>
            <w:r>
              <w:rPr>
                <w:rFonts w:hint="eastAsia" w:ascii="宋体" w:hAnsi="宋体"/>
                <w:color w:val="000000" w:themeColor="text1"/>
                <w:sz w:val="21"/>
                <w:szCs w:val="21"/>
              </w:rPr>
              <w:t>组织建立了危险源识别、评价控制程序，识别评价了危险源、风险相关的过程，评价出了重要危险源，与之相关的过程有检测，针对重要危险源制定了管理方案。控制措施实施有效。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hint="eastAsia"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ascii="宋体" w:hAnsi="宋体"/>
                <w:b/>
                <w:color w:val="000000" w:themeColor="text1"/>
                <w:sz w:val="21"/>
                <w:szCs w:val="21"/>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276" w:lineRule="auto"/>
              <w:rPr>
                <w:rFonts w:ascii="宋体" w:hAnsi="宋体" w:cs="宋体"/>
                <w:sz w:val="21"/>
                <w:szCs w:val="21"/>
              </w:rPr>
            </w:pPr>
            <w:r>
              <w:rPr>
                <w:rFonts w:hint="eastAsia" w:ascii="宋体" w:hAnsi="宋体" w:cs="宋体"/>
                <w:sz w:val="21"/>
                <w:szCs w:val="21"/>
              </w:rPr>
              <w:t>质量目标：</w:t>
            </w:r>
          </w:p>
          <w:p>
            <w:pPr>
              <w:spacing w:line="276" w:lineRule="auto"/>
              <w:ind w:left="5250" w:hanging="5250" w:hangingChars="2500"/>
              <w:rPr>
                <w:rFonts w:ascii="宋体" w:hAnsi="宋体" w:cs="宋体"/>
                <w:sz w:val="21"/>
                <w:szCs w:val="21"/>
              </w:rPr>
            </w:pPr>
            <w:r>
              <w:rPr>
                <w:rFonts w:hint="eastAsia" w:ascii="宋体" w:hAnsi="宋体" w:cs="宋体"/>
                <w:sz w:val="21"/>
                <w:szCs w:val="21"/>
              </w:rPr>
              <w:t xml:space="preserve">   1项目合格率≥95％</w:t>
            </w:r>
          </w:p>
          <w:p>
            <w:pPr>
              <w:spacing w:line="276" w:lineRule="auto"/>
              <w:ind w:left="5250" w:hanging="5250" w:hangingChars="2500"/>
              <w:rPr>
                <w:rFonts w:ascii="宋体" w:hAnsi="宋体" w:cs="宋体"/>
                <w:sz w:val="21"/>
                <w:szCs w:val="21"/>
              </w:rPr>
            </w:pPr>
            <w:r>
              <w:rPr>
                <w:rFonts w:hint="eastAsia" w:ascii="宋体" w:hAnsi="宋体" w:cs="宋体"/>
                <w:sz w:val="21"/>
                <w:szCs w:val="21"/>
              </w:rPr>
              <w:t xml:space="preserve">   2 顾客满意度≥95％</w:t>
            </w:r>
          </w:p>
          <w:p>
            <w:pPr>
              <w:spacing w:line="276" w:lineRule="auto"/>
              <w:ind w:left="5250" w:hanging="5250" w:hangingChars="2500"/>
              <w:rPr>
                <w:rFonts w:ascii="宋体" w:hAnsi="宋体" w:cs="宋体"/>
                <w:sz w:val="21"/>
                <w:szCs w:val="21"/>
              </w:rPr>
            </w:pPr>
            <w:r>
              <w:rPr>
                <w:rFonts w:hint="eastAsia" w:ascii="宋体" w:hAnsi="宋体" w:cs="宋体"/>
                <w:sz w:val="21"/>
                <w:szCs w:val="21"/>
              </w:rPr>
              <w:t xml:space="preserve"> 环境和职业健康安全目标：</w:t>
            </w:r>
          </w:p>
          <w:p>
            <w:pPr>
              <w:spacing w:line="276" w:lineRule="auto"/>
              <w:ind w:left="5250" w:hanging="5250" w:hangingChars="2500"/>
              <w:rPr>
                <w:rFonts w:ascii="宋体" w:hAnsi="宋体" w:cs="宋体"/>
                <w:sz w:val="21"/>
                <w:szCs w:val="21"/>
              </w:rPr>
            </w:pPr>
            <w:r>
              <w:rPr>
                <w:rFonts w:hint="eastAsia" w:ascii="宋体" w:hAnsi="宋体" w:cs="宋体"/>
                <w:sz w:val="21"/>
                <w:szCs w:val="21"/>
              </w:rPr>
              <w:t xml:space="preserve">   1固体废弃物回收处置率100%  ;</w:t>
            </w:r>
          </w:p>
          <w:p>
            <w:pPr>
              <w:spacing w:line="276" w:lineRule="auto"/>
              <w:ind w:firstLine="315" w:firstLineChars="150"/>
              <w:rPr>
                <w:rFonts w:ascii="宋体" w:hAnsi="宋体" w:cs="宋体"/>
                <w:sz w:val="21"/>
                <w:szCs w:val="21"/>
              </w:rPr>
            </w:pPr>
            <w:r>
              <w:rPr>
                <w:rFonts w:hint="eastAsia" w:ascii="宋体" w:hAnsi="宋体" w:cs="宋体"/>
                <w:sz w:val="21"/>
                <w:szCs w:val="21"/>
              </w:rPr>
              <w:t>2火灾事故为0</w:t>
            </w:r>
          </w:p>
          <w:p>
            <w:pPr>
              <w:spacing w:line="276" w:lineRule="auto"/>
              <w:ind w:firstLine="315" w:firstLineChars="150"/>
              <w:rPr>
                <w:rFonts w:ascii="宋体" w:hAnsi="宋体" w:cs="宋体"/>
                <w:sz w:val="21"/>
                <w:szCs w:val="21"/>
              </w:rPr>
            </w:pPr>
            <w:r>
              <w:rPr>
                <w:rFonts w:hint="eastAsia" w:ascii="宋体" w:hAnsi="宋体" w:cs="宋体"/>
                <w:sz w:val="21"/>
                <w:szCs w:val="21"/>
              </w:rPr>
              <w:t>3触电事故为0</w:t>
            </w:r>
          </w:p>
          <w:p>
            <w:pPr>
              <w:spacing w:line="276" w:lineRule="auto"/>
              <w:ind w:firstLine="315" w:firstLineChars="150"/>
              <w:rPr>
                <w:rFonts w:ascii="宋体" w:hAnsi="宋体" w:cs="宋体"/>
                <w:sz w:val="21"/>
                <w:szCs w:val="21"/>
              </w:rPr>
            </w:pPr>
            <w:r>
              <w:rPr>
                <w:rFonts w:hint="eastAsia" w:ascii="宋体" w:hAnsi="宋体" w:cs="宋体"/>
                <w:sz w:val="21"/>
                <w:szCs w:val="21"/>
              </w:rPr>
              <w:t>4重大交通事故为0</w:t>
            </w:r>
          </w:p>
          <w:p>
            <w:pPr>
              <w:spacing w:line="300" w:lineRule="exact"/>
              <w:ind w:firstLine="420" w:firstLineChars="200"/>
              <w:rPr>
                <w:rFonts w:hint="eastAsia" w:ascii="宋体" w:hAnsi="宋体"/>
                <w:b/>
                <w:sz w:val="21"/>
                <w:szCs w:val="21"/>
              </w:rPr>
            </w:pPr>
            <w:r>
              <w:rPr>
                <w:rFonts w:hint="eastAsia" w:ascii="宋体" w:hAnsi="宋体" w:cs="宋体"/>
                <w:sz w:val="21"/>
                <w:szCs w:val="21"/>
              </w:rPr>
              <w:t>5重大环境事故为0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210" w:firstLineChars="100"/>
              <w:rPr>
                <w:rFonts w:ascii="宋体" w:hAnsi="宋体"/>
                <w:b/>
                <w:sz w:val="21"/>
                <w:szCs w:val="21"/>
              </w:rPr>
            </w:pPr>
            <w:r>
              <w:rPr>
                <w:rFonts w:hint="eastAsia" w:ascii="宋体" w:hAnsi="宋体" w:eastAsia="宋体" w:cs="宋体"/>
                <w:kern w:val="2"/>
                <w:sz w:val="21"/>
                <w:szCs w:val="21"/>
                <w:lang w:val="en-US" w:eastAsia="zh-CN" w:bidi="ar-SA"/>
              </w:rPr>
              <w:t>公司按照申请认证的标准要求，建立并形成了文件化的质量、环境和职业健康安全管理体系，体系文件对管理体系各过程进行了识别确定、明确了各要素间的相互关系及其管控要求。公司体系文件于2019年5月21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eastAsia="宋体" w:cs="宋体"/>
                <w:kern w:val="2"/>
                <w:sz w:val="21"/>
                <w:szCs w:val="21"/>
                <w:lang w:val="en-US" w:eastAsia="zh-CN" w:bidi="ar-SA"/>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rPr>
                <w:rFonts w:ascii="宋体" w:hAnsi="宋体"/>
                <w:b/>
                <w:sz w:val="21"/>
                <w:szCs w:val="21"/>
              </w:rPr>
            </w:pPr>
            <w:r>
              <w:rPr>
                <w:rFonts w:hint="eastAsia" w:ascii="宋体" w:hAnsi="宋体"/>
                <w:sz w:val="21"/>
                <w:szCs w:val="21"/>
              </w:rPr>
              <w:t>办公场所面积2000平方左右，</w:t>
            </w:r>
            <w:r>
              <w:rPr>
                <w:rFonts w:hint="eastAsia" w:ascii="宋体" w:hAnsi="宋体" w:cs="宋体"/>
                <w:sz w:val="21"/>
                <w:szCs w:val="21"/>
              </w:rPr>
              <w:t>主要设备包括气</w:t>
            </w:r>
            <w:r>
              <w:rPr>
                <w:rFonts w:hint="eastAsia" w:ascii="宋体" w:hAnsi="宋体"/>
                <w:sz w:val="21"/>
                <w:szCs w:val="21"/>
              </w:rPr>
              <w:t>相色谱仪、热解吸仪、可见分光光度计、电子天平、恒温浴锅、生物显微镜、积分声级器、紫外辐射照度计、辐射检测仪、智能烟尘烟气分析仪等检测设备，可以满足</w:t>
            </w:r>
            <w:r>
              <w:rPr>
                <w:rFonts w:hint="eastAsia"/>
                <w:sz w:val="21"/>
                <w:szCs w:val="21"/>
              </w:rPr>
              <w:t>资质范围内的环境监测服务、环境验收服务、职业病危害因素检测与评价、放射性卫生防护检测与评价 、公共卫生检测需要</w:t>
            </w:r>
            <w:r>
              <w:rPr>
                <w:rFonts w:hint="eastAsia" w:ascii="宋体" w:hAnsi="宋体" w:cs="宋体"/>
                <w:sz w:val="21"/>
                <w:szCs w:val="21"/>
              </w:rPr>
              <w:t>。对设备按要求维护保养，并实施。特种设备：无。公司未建立信息管理系统用于生产和服务。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210" w:firstLineChars="100"/>
              <w:rPr>
                <w:rFonts w:hint="eastAsia" w:ascii="宋体" w:hAnsi="宋体" w:eastAsia="宋体"/>
                <w:b/>
                <w:sz w:val="21"/>
                <w:szCs w:val="21"/>
                <w:lang w:eastAsia="zh-CN"/>
              </w:rPr>
            </w:pPr>
            <w:r>
              <w:rPr>
                <w:rFonts w:hint="eastAsia" w:ascii="宋体" w:hAnsi="宋体" w:cs="宋体"/>
                <w:sz w:val="21"/>
                <w:szCs w:val="21"/>
              </w:rPr>
              <w:t>办公场所及办公设备布置合理，通道畅通，照明设施齐全，均配备了消防设施等设施。办公室明亮，场内光线较充足。每月由综合办公室对工作环境进行定期检查</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ind w:firstLine="210" w:firstLineChars="100"/>
              <w:rPr>
                <w:rFonts w:hint="default" w:ascii="宋体" w:hAnsi="宋体"/>
                <w:b/>
                <w:sz w:val="21"/>
                <w:szCs w:val="21"/>
                <w:lang w:val="en-US"/>
              </w:rPr>
            </w:pPr>
            <w:r>
              <w:rPr>
                <w:rFonts w:hint="eastAsia" w:ascii="宋体" w:hAnsi="宋体" w:eastAsia="宋体" w:cs="宋体"/>
                <w:color w:val="000000"/>
                <w:sz w:val="21"/>
                <w:szCs w:val="21"/>
              </w:rPr>
              <w:t>质量控制部门均按策划的要求配置了相应的检测设备，其中包含气相色谱仪、热解吸仪、可见分光光度计、电子天平、恒温浴锅、生物显微镜、积分声级器、紫外辐射照度计、辐射检测仪、智能烟尘烟气分析仪等。查质量控制部按规定，对所有的检测设备进行了规定的检验及校准。采取委外方式进行，能提供有校准或检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eastAsia="zh-CN"/>
              </w:rPr>
            </w:pPr>
            <w:r>
              <w:rPr>
                <w:rFonts w:hint="eastAsia" w:ascii="宋体" w:hAnsi="宋体"/>
                <w:b/>
                <w:sz w:val="21"/>
                <w:szCs w:val="21"/>
              </w:rPr>
              <w:t>环保设施：</w:t>
            </w:r>
            <w:r>
              <w:rPr>
                <w:rFonts w:hint="eastAsia" w:ascii="宋体" w:hAnsi="宋体"/>
                <w:sz w:val="20"/>
                <w:szCs w:val="20"/>
              </w:rPr>
              <w:t>消防栓、灭火器、废气处理装置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400" w:lineRule="exact"/>
              <w:rPr>
                <w:rFonts w:hint="eastAsia" w:eastAsia="宋体"/>
                <w:color w:val="FF0000"/>
                <w:sz w:val="21"/>
                <w:szCs w:val="21"/>
                <w:lang w:eastAsia="zh-CN"/>
              </w:rPr>
            </w:pPr>
            <w:r>
              <w:rPr>
                <w:rFonts w:hint="eastAsia" w:ascii="宋体" w:hAnsi="宋体"/>
                <w:b/>
                <w:sz w:val="21"/>
                <w:szCs w:val="21"/>
              </w:rPr>
              <w:t>职业健康安全设施：</w:t>
            </w:r>
            <w:r>
              <w:rPr>
                <w:rFonts w:hint="eastAsia" w:ascii="宋体" w:hAnsi="宋体"/>
                <w:sz w:val="20"/>
                <w:szCs w:val="20"/>
              </w:rPr>
              <w:t>消防栓、灭火器</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firstLine="420" w:firstLineChars="200"/>
              <w:rPr>
                <w:rFonts w:hint="eastAsia"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hint="eastAsia" w:ascii="楷体_GB2312" w:eastAsia="宋体"/>
                <w:b/>
                <w:color w:val="000000" w:themeColor="text1"/>
                <w:sz w:val="20"/>
                <w:szCs w:val="20"/>
                <w:lang w:eastAsia="zh-CN"/>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 w:val="21"/>
                <w:szCs w:val="21"/>
              </w:rPr>
              <w:t>对会议通知和规定等登记处理</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按公司要求执行</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 w:val="21"/>
                <w:szCs w:val="21"/>
                <w:lang w:val="en-US" w:eastAsia="zh-CN"/>
              </w:rPr>
              <w:t>交付顾客</w:t>
            </w:r>
            <w:r>
              <w:rPr>
                <w:rFonts w:hint="eastAsia" w:ascii="宋体" w:hAnsi="宋体" w:cs="宋体"/>
                <w:color w:val="000000"/>
                <w:sz w:val="21"/>
                <w:szCs w:val="21"/>
              </w:rPr>
              <w:t>前予以实现，范围包括：</w:t>
            </w:r>
            <w:r>
              <w:rPr>
                <w:rFonts w:hint="eastAsia" w:ascii="宋体" w:hAnsi="宋体" w:cs="宋体"/>
                <w:color w:val="000000"/>
                <w:sz w:val="21"/>
                <w:szCs w:val="21"/>
                <w:lang w:val="en-US" w:eastAsia="zh-CN"/>
              </w:rPr>
              <w:t>检测</w:t>
            </w:r>
            <w:r>
              <w:rPr>
                <w:rFonts w:hint="eastAsia" w:ascii="宋体" w:hAnsi="宋体" w:cs="宋体"/>
                <w:color w:val="000000"/>
                <w:sz w:val="21"/>
                <w:szCs w:val="21"/>
              </w:rPr>
              <w:t>过程、最终</w:t>
            </w:r>
            <w:r>
              <w:rPr>
                <w:rFonts w:hint="eastAsia" w:ascii="宋体" w:hAnsi="宋体" w:cs="宋体"/>
                <w:color w:val="000000"/>
                <w:sz w:val="21"/>
                <w:szCs w:val="21"/>
                <w:lang w:val="en-US" w:eastAsia="zh-CN"/>
              </w:rPr>
              <w:t>测试报告</w:t>
            </w:r>
            <w:r>
              <w:rPr>
                <w:rFonts w:hint="eastAsia" w:ascii="宋体" w:hAnsi="宋体" w:cs="宋体"/>
                <w:color w:val="000000"/>
                <w:sz w:val="21"/>
                <w:szCs w:val="21"/>
              </w:rPr>
              <w:t>。以此保证持续向顾客提供稳定的</w:t>
            </w:r>
            <w:r>
              <w:rPr>
                <w:rFonts w:hint="eastAsia" w:ascii="宋体" w:hAnsi="宋体" w:cs="宋体"/>
                <w:color w:val="000000"/>
                <w:sz w:val="21"/>
                <w:szCs w:val="21"/>
                <w:lang w:val="en-US" w:eastAsia="zh-CN"/>
              </w:rPr>
              <w:t>合格服务</w:t>
            </w:r>
            <w:r>
              <w:rPr>
                <w:rFonts w:hint="eastAsia" w:ascii="宋体" w:hAnsi="宋体" w:cs="宋体"/>
                <w:color w:val="000000"/>
                <w:sz w:val="21"/>
                <w:szCs w:val="21"/>
              </w:rPr>
              <w:t>。</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5 .QMS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r>
              <w:rPr>
                <w:rFonts w:hint="eastAsia" w:ascii="宋体" w:hAnsi="宋体"/>
                <w:b/>
                <w:sz w:val="21"/>
                <w:szCs w:val="21"/>
                <w:lang w:eastAsia="zh-CN"/>
              </w:rPr>
              <w:t>：</w:t>
            </w:r>
          </w:p>
          <w:p>
            <w:pPr>
              <w:spacing w:line="300" w:lineRule="exact"/>
              <w:ind w:firstLine="197" w:firstLineChars="98"/>
              <w:rPr>
                <w:rFonts w:hint="eastAsia" w:eastAsia="宋体"/>
                <w:b/>
                <w:sz w:val="20"/>
                <w:szCs w:val="20"/>
                <w:lang w:eastAsia="zh-CN"/>
              </w:rPr>
            </w:pPr>
            <w:r>
              <w:rPr>
                <w:rFonts w:hint="eastAsia"/>
                <w:b/>
                <w:sz w:val="20"/>
                <w:szCs w:val="20"/>
              </w:rPr>
              <w:t>有型式试验和委外检测报告，见附件</w:t>
            </w:r>
            <w:r>
              <w:rPr>
                <w:rFonts w:hint="eastAsia"/>
                <w:b/>
                <w:sz w:val="20"/>
                <w:szCs w:val="20"/>
                <w:lang w:eastAsia="zh-CN"/>
              </w:rPr>
              <w:t>。</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11" w:firstLineChars="100"/>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210" w:firstLineChars="1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pStyle w:val="13"/>
              <w:tabs>
                <w:tab w:val="center" w:pos="3169"/>
              </w:tabs>
              <w:spacing w:line="400" w:lineRule="exact"/>
              <w:ind w:firstLine="0" w:firstLineChars="0"/>
              <w:jc w:val="left"/>
              <w:rPr>
                <w:rFonts w:ascii="宋体" w:hAnsi="宋体"/>
                <w:b/>
                <w:sz w:val="21"/>
                <w:szCs w:val="21"/>
              </w:rPr>
            </w:pPr>
            <w:r>
              <w:rPr>
                <w:rFonts w:hint="eastAsia" w:asciiTheme="minorEastAsia" w:hAnsiTheme="minorEastAsia" w:eastAsiaTheme="minorEastAsia"/>
                <w:bCs/>
                <w:iCs/>
              </w:rPr>
              <w:t>组织重要环境因素为</w:t>
            </w:r>
            <w:r>
              <w:rPr>
                <w:rFonts w:hint="eastAsia" w:ascii="宋体" w:hAnsi="宋体"/>
                <w:szCs w:val="21"/>
              </w:rPr>
              <w:t>潜在火灾，固废排放，污水排放，化学药品泄漏挥发</w:t>
            </w:r>
            <w:r>
              <w:rPr>
                <w:rFonts w:hint="eastAsia" w:asciiTheme="minorEastAsia" w:hAnsiTheme="minorEastAsia" w:eastAsiaTheme="minorEastAsia"/>
                <w:bCs/>
                <w:iCs/>
              </w:rPr>
              <w:t>，需要应对的风险和机遇相关的过程为测试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组织建立了危险源识别、评价控制程序，识别评价了危险源、风险相关的过程，评价出了重要危险源，与之相关的过程有服务、信息处理过程，针对不可接受风险制定了管理方案。控制措施实施有效。</w:t>
            </w:r>
          </w:p>
          <w:p>
            <w:pPr>
              <w:numPr>
                <w:ilvl w:val="0"/>
                <w:numId w:val="0"/>
              </w:numPr>
              <w:spacing w:line="240" w:lineRule="exac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eastAsia="宋体"/>
                <w:color w:val="000000" w:themeColor="text1"/>
                <w:sz w:val="21"/>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315" w:firstLineChars="150"/>
              <w:rPr>
                <w:rFonts w:ascii="宋体" w:hAnsi="宋体"/>
                <w:b/>
                <w:sz w:val="21"/>
                <w:szCs w:val="21"/>
              </w:rPr>
            </w:pPr>
            <w:r>
              <w:rPr>
                <w:rFonts w:hint="eastAsia" w:ascii="宋体" w:hAnsi="宋体" w:cs="宋体"/>
                <w:color w:val="000000"/>
                <w:sz w:val="21"/>
                <w:szCs w:val="21"/>
                <w:highlight w:val="none"/>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auto"/>
                <w:sz w:val="21"/>
                <w:szCs w:val="21"/>
                <w:highlight w:val="none"/>
              </w:rPr>
              <w:t>通过20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月质量</w:t>
            </w:r>
            <w:r>
              <w:rPr>
                <w:rFonts w:hint="eastAsia" w:ascii="宋体" w:hAnsi="宋体" w:cs="宋体"/>
                <w:color w:val="auto"/>
                <w:sz w:val="21"/>
                <w:szCs w:val="21"/>
                <w:highlight w:val="none"/>
                <w:lang w:eastAsia="zh-CN"/>
              </w:rPr>
              <w:t>、环境、职业健康安全</w:t>
            </w:r>
            <w:r>
              <w:rPr>
                <w:rFonts w:hint="eastAsia" w:ascii="宋体" w:hAnsi="宋体" w:cs="宋体"/>
                <w:color w:val="auto"/>
                <w:sz w:val="21"/>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firstLine="420" w:firstLineChars="200"/>
              <w:rPr>
                <w:rFonts w:hint="eastAsia" w:ascii="宋体" w:hAnsi="宋体"/>
                <w:b/>
                <w:sz w:val="21"/>
                <w:szCs w:val="21"/>
              </w:rPr>
            </w:pPr>
            <w:r>
              <w:rPr>
                <w:rFonts w:hint="eastAsia" w:ascii="宋体" w:hAnsi="宋体" w:cs="宋体"/>
                <w:color w:val="000000"/>
                <w:sz w:val="21"/>
                <w:szCs w:val="21"/>
              </w:rPr>
              <w:t>公司</w:t>
            </w:r>
            <w:r>
              <w:rPr>
                <w:rFonts w:hint="eastAsia" w:ascii="宋体" w:hAnsi="宋体" w:cs="宋体"/>
                <w:color w:val="000000"/>
                <w:sz w:val="21"/>
                <w:szCs w:val="21"/>
                <w:highlight w:val="none"/>
              </w:rPr>
              <w:t>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Pr>
                <w:rFonts w:hint="eastAsia" w:ascii="宋体" w:hAnsi="宋体" w:cs="宋体"/>
                <w:sz w:val="21"/>
                <w:szCs w:val="21"/>
                <w:highlight w:val="none"/>
              </w:rPr>
              <w:t>施，</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月实施，满意度评价</w:t>
            </w:r>
            <w:r>
              <w:rPr>
                <w:rFonts w:hint="eastAsia" w:ascii="宋体" w:hAnsi="宋体" w:cs="宋体"/>
                <w:color w:val="auto"/>
                <w:sz w:val="21"/>
                <w:szCs w:val="21"/>
                <w:highlight w:val="none"/>
                <w:lang w:val="en-US" w:eastAsia="zh-CN"/>
              </w:rPr>
              <w:t>97</w:t>
            </w:r>
            <w:r>
              <w:rPr>
                <w:rFonts w:hint="eastAsia" w:ascii="宋体" w:hAnsi="宋体" w:cs="宋体"/>
                <w:color w:val="auto"/>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210" w:firstLineChars="100"/>
              <w:rPr>
                <w:rFonts w:ascii="宋体" w:hAnsi="宋体"/>
                <w:b/>
                <w:sz w:val="21"/>
                <w:szCs w:val="21"/>
                <w:highlight w:val="none"/>
              </w:rPr>
            </w:pPr>
            <w:r>
              <w:rPr>
                <w:rFonts w:hint="eastAsia" w:ascii="宋体" w:hAnsi="宋体" w:cs="宋体"/>
                <w:sz w:val="21"/>
                <w:szCs w:val="21"/>
                <w:highlight w:val="none"/>
              </w:rPr>
              <w:t>建立有《内部审核控制程序》，规定了内审频次一年一次，内审时间：20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9</w:t>
            </w:r>
            <w:r>
              <w:rPr>
                <w:rFonts w:hint="eastAsia" w:ascii="宋体" w:hAnsi="宋体" w:cs="宋体"/>
                <w:sz w:val="21"/>
                <w:szCs w:val="21"/>
                <w:highlight w:val="none"/>
              </w:rPr>
              <w:t>月</w:t>
            </w:r>
            <w:r>
              <w:rPr>
                <w:rFonts w:hint="eastAsia" w:ascii="宋体" w:hAnsi="宋体" w:cs="宋体"/>
                <w:sz w:val="21"/>
                <w:szCs w:val="21"/>
                <w:highlight w:val="none"/>
                <w:lang w:val="en-US" w:eastAsia="zh-CN"/>
              </w:rPr>
              <w:t>11</w:t>
            </w:r>
            <w:r>
              <w:rPr>
                <w:rFonts w:hint="eastAsia" w:ascii="宋体" w:hAnsi="宋体" w:cs="宋体"/>
                <w:sz w:val="21"/>
                <w:szCs w:val="21"/>
                <w:highlight w:val="none"/>
              </w:rPr>
              <w:t>日，拟定了审核实施表，明确了内审范围，内审人员经培训合格上岗，能力满足要求，未出现审核本部门情况，内审不符合项</w:t>
            </w:r>
            <w:r>
              <w:rPr>
                <w:rFonts w:hint="eastAsia" w:ascii="宋体" w:hAnsi="宋体" w:cs="宋体"/>
                <w:sz w:val="21"/>
                <w:szCs w:val="21"/>
                <w:highlight w:val="none"/>
                <w:lang w:val="en-US" w:eastAsia="zh-CN"/>
              </w:rPr>
              <w:t>1</w:t>
            </w:r>
            <w:r>
              <w:rPr>
                <w:rFonts w:hint="eastAsia" w:ascii="宋体" w:hAnsi="宋体" w:cs="宋体"/>
                <w:sz w:val="21"/>
                <w:szCs w:val="21"/>
                <w:highlight w:val="none"/>
              </w:rPr>
              <w:t>项，</w:t>
            </w:r>
            <w:r>
              <w:rPr>
                <w:rFonts w:hint="eastAsia" w:ascii="宋体" w:hAnsi="宋体" w:cs="宋体"/>
                <w:sz w:val="21"/>
                <w:szCs w:val="21"/>
                <w:highlight w:val="none"/>
                <w:lang w:val="en-US" w:eastAsia="zh-CN"/>
              </w:rPr>
              <w:t>涉及综合办公室Q/E/S7.2条款</w:t>
            </w:r>
            <w:r>
              <w:rPr>
                <w:rFonts w:hint="eastAsia" w:ascii="宋体" w:hAnsi="宋体" w:cs="宋体"/>
                <w:sz w:val="21"/>
                <w:szCs w:val="21"/>
                <w:highlight w:val="none"/>
              </w:rPr>
              <w:t>查20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年对人员能力评价的情况，未提供相关证据，针对该不符合项，已及时采取纠正措施后，经内审员验证关闭。内审的有效性需要改善。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210" w:firstLineChars="100"/>
              <w:rPr>
                <w:rFonts w:ascii="宋体" w:hAnsi="宋体"/>
                <w:b/>
                <w:sz w:val="21"/>
                <w:szCs w:val="21"/>
              </w:rPr>
            </w:pPr>
            <w:r>
              <w:rPr>
                <w:rFonts w:hint="eastAsia" w:ascii="宋体" w:hAnsi="宋体" w:cs="宋体"/>
                <w:sz w:val="21"/>
                <w:szCs w:val="21"/>
              </w:rPr>
              <w:t>管理评审频次为</w:t>
            </w:r>
            <w:r>
              <w:rPr>
                <w:rFonts w:hint="eastAsia" w:ascii="宋体" w:hAnsi="宋体" w:cs="宋体"/>
                <w:sz w:val="21"/>
                <w:szCs w:val="21"/>
                <w:highlight w:val="none"/>
              </w:rPr>
              <w:t>一年一次、本次管理评审于20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9</w:t>
            </w:r>
            <w:r>
              <w:rPr>
                <w:rFonts w:hint="eastAsia" w:ascii="宋体" w:hAnsi="宋体" w:cs="宋体"/>
                <w:sz w:val="21"/>
                <w:szCs w:val="21"/>
                <w:highlight w:val="none"/>
              </w:rPr>
              <w:t>月</w:t>
            </w:r>
            <w:r>
              <w:rPr>
                <w:rFonts w:hint="eastAsia" w:ascii="宋体" w:hAnsi="宋体" w:cs="宋体"/>
                <w:sz w:val="21"/>
                <w:szCs w:val="21"/>
                <w:highlight w:val="none"/>
                <w:lang w:val="en-US" w:eastAsia="zh-CN"/>
              </w:rPr>
              <w:t>29</w:t>
            </w:r>
            <w:r>
              <w:rPr>
                <w:rFonts w:hint="eastAsia" w:ascii="宋体" w:hAnsi="宋体" w:cs="宋体"/>
                <w:sz w:val="21"/>
                <w:szCs w:val="21"/>
                <w:highlight w:val="none"/>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400" w:lineRule="exact"/>
              <w:rPr>
                <w:rFonts w:hint="default" w:ascii="宋体" w:hAnsi="宋体" w:eastAsia="宋体"/>
                <w:szCs w:val="21"/>
                <w:lang w:val="en-US" w:eastAsia="zh-CN"/>
              </w:rPr>
            </w:pPr>
            <w:r>
              <w:rPr>
                <w:rFonts w:hint="eastAsia" w:ascii="宋体" w:hAnsi="宋体"/>
                <w:b/>
                <w:sz w:val="21"/>
                <w:szCs w:val="21"/>
                <w:lang w:val="en-US" w:eastAsia="zh-CN"/>
              </w:rPr>
              <w:t xml:space="preserve"> </w:t>
            </w:r>
            <w:r>
              <w:rPr>
                <w:rFonts w:hint="eastAsia"/>
                <w:b/>
                <w:bCs/>
                <w:sz w:val="20"/>
                <w:szCs w:val="20"/>
              </w:rPr>
              <w:t>不适用</w:t>
            </w:r>
          </w:p>
          <w:p>
            <w:pPr>
              <w:numPr>
                <w:ilvl w:val="0"/>
                <w:numId w:val="0"/>
              </w:numPr>
              <w:spacing w:line="240" w:lineRule="exact"/>
              <w:ind w:leftChars="0"/>
              <w:rPr>
                <w:rFonts w:hint="default" w:ascii="宋体" w:hAnsi="宋体" w:eastAsia="宋体"/>
                <w:b/>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201" w:firstLineChars="100"/>
              <w:rPr>
                <w:rFonts w:hint="default" w:ascii="宋体" w:hAnsi="宋体" w:eastAsia="宋体"/>
                <w:b/>
                <w:sz w:val="21"/>
                <w:szCs w:val="21"/>
                <w:lang w:val="en-US" w:eastAsia="zh-CN"/>
              </w:rPr>
            </w:pPr>
            <w:r>
              <w:rPr>
                <w:rFonts w:hint="eastAsia"/>
                <w:b/>
                <w:bCs/>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ind w:firstLine="201" w:firstLineChars="100"/>
              <w:rPr>
                <w:rFonts w:ascii="宋体" w:hAnsi="宋体"/>
                <w:b/>
                <w:sz w:val="21"/>
                <w:szCs w:val="21"/>
              </w:rPr>
            </w:pPr>
            <w:r>
              <w:rPr>
                <w:rFonts w:hint="eastAsia"/>
                <w:b/>
                <w:bCs/>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 xml:space="preserve"> 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default"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highlight w:val="none"/>
                <w:lang w:val="en-US" w:eastAsia="zh-CN"/>
              </w:rPr>
              <w:t>1）取得有：能力验证合格证书，证书编号：2020-NC-073。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eastAsia="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ind w:leftChars="-50" w:firstLine="422" w:firstLineChars="200"/>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50" w:firstLine="531" w:firstLineChars="252"/>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Chars="-50" w:firstLine="420" w:firstLineChars="200"/>
              <w:rPr>
                <w:rFonts w:hint="eastAsia" w:ascii="宋体" w:hAnsi="宋体"/>
                <w:b/>
                <w:sz w:val="21"/>
                <w:szCs w:val="21"/>
              </w:rPr>
            </w:pPr>
            <w:r>
              <w:rPr>
                <w:rFonts w:hint="eastAsia" w:ascii="宋体" w:hAnsi="宋体" w:eastAsia="宋体" w:cs="宋体"/>
                <w:color w:val="auto"/>
                <w:sz w:val="21"/>
                <w:szCs w:val="21"/>
                <w:highlight w:val="none"/>
              </w:rPr>
              <w:t>上次不符合为</w:t>
            </w:r>
            <w:r>
              <w:rPr>
                <w:rFonts w:hint="eastAsia" w:ascii="宋体" w:hAnsi="宋体" w:cs="宋体"/>
                <w:color w:val="auto"/>
                <w:sz w:val="21"/>
                <w:szCs w:val="21"/>
                <w:highlight w:val="none"/>
                <w:lang w:val="en-US" w:eastAsia="zh-CN"/>
              </w:rPr>
              <w:t>技术</w:t>
            </w:r>
            <w:r>
              <w:rPr>
                <w:rFonts w:hint="eastAsia" w:ascii="宋体" w:hAnsi="宋体" w:cs="宋体"/>
                <w:color w:val="auto"/>
                <w:sz w:val="21"/>
                <w:szCs w:val="21"/>
                <w:highlight w:val="none"/>
                <w:lang w:eastAsia="zh-CN"/>
              </w:rPr>
              <w:t>部门</w:t>
            </w:r>
            <w:r>
              <w:rPr>
                <w:rFonts w:hint="eastAsia" w:ascii="宋体" w:hAnsi="宋体" w:cs="宋体"/>
                <w:color w:val="auto"/>
                <w:sz w:val="21"/>
                <w:szCs w:val="21"/>
                <w:highlight w:val="none"/>
                <w:lang w:val="en-US" w:eastAsia="zh-CN"/>
              </w:rPr>
              <w:t>E8.1条款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auto"/>
          <w:szCs w:val="21"/>
          <w:highlight w:val="none"/>
        </w:rPr>
      </w:pPr>
      <w:r>
        <w:rPr>
          <w:rFonts w:hint="eastAsia" w:ascii="宋体" w:hAnsi="宋体"/>
          <w:b/>
          <w:color w:val="auto"/>
          <w:szCs w:val="21"/>
          <w:highlight w:val="none"/>
        </w:rPr>
        <w:t>本</w:t>
      </w:r>
      <w:r>
        <w:rPr>
          <w:rFonts w:hint="eastAsia"/>
          <w:b/>
          <w:color w:val="auto"/>
          <w:sz w:val="26"/>
          <w:szCs w:val="26"/>
          <w:highlight w:val="none"/>
        </w:rPr>
        <w:t>次审核共开具不符合项报告1项；其中</w:t>
      </w:r>
      <w:r>
        <w:rPr>
          <w:b/>
          <w:color w:val="auto"/>
          <w:sz w:val="26"/>
          <w:szCs w:val="26"/>
          <w:highlight w:val="none"/>
        </w:rPr>
        <w:pict>
          <v:line id="直接连接符 1" o:spid="_x0000_s2053" o:spt="20" style="position:absolute;left:0pt;margin-left:210pt;margin-top:16.2pt;height:0pt;width:0.05pt;z-index:11264;mso-width-relative:page;mso-height-relative:page;" coordsize="21600,21600" o:allowincell="f">
            <v:path arrowok="t"/>
            <v:fill focussize="0,0"/>
            <v:stroke/>
            <v:imagedata o:title=""/>
            <o:lock v:ext="edit"/>
          </v:line>
        </w:pict>
      </w:r>
      <w:r>
        <w:rPr>
          <w:rFonts w:hint="eastAsia"/>
          <w:b/>
          <w:color w:val="auto"/>
          <w:sz w:val="26"/>
          <w:szCs w:val="26"/>
          <w:highlight w:val="none"/>
        </w:rPr>
        <w:t>严重不符合 0项，一般不符合 1项，观察项0项。不符合项分布在</w:t>
      </w:r>
      <w:r>
        <w:rPr>
          <w:rFonts w:hint="eastAsia"/>
          <w:b/>
          <w:color w:val="auto"/>
          <w:sz w:val="26"/>
          <w:szCs w:val="26"/>
          <w:highlight w:val="none"/>
          <w:lang w:val="en-US" w:eastAsia="zh-CN"/>
        </w:rPr>
        <w:t>质量控制</w:t>
      </w:r>
      <w:r>
        <w:rPr>
          <w:rFonts w:hint="eastAsia"/>
          <w:b/>
          <w:color w:val="auto"/>
          <w:sz w:val="26"/>
          <w:szCs w:val="26"/>
          <w:highlight w:val="none"/>
        </w:rPr>
        <w:t>部门</w:t>
      </w:r>
      <w:r>
        <w:rPr>
          <w:rFonts w:hint="eastAsia"/>
          <w:b/>
          <w:color w:val="auto"/>
          <w:sz w:val="26"/>
          <w:szCs w:val="26"/>
          <w:highlight w:val="none"/>
          <w:lang w:val="en-US" w:eastAsia="zh-CN"/>
        </w:rPr>
        <w:t>Q8.4.1</w:t>
      </w:r>
      <w:r>
        <w:rPr>
          <w:rFonts w:hint="eastAsia"/>
          <w:b/>
          <w:color w:val="auto"/>
          <w:sz w:val="26"/>
          <w:szCs w:val="26"/>
          <w:highlight w:val="none"/>
        </w:rPr>
        <w:t xml:space="preserve"> 条款，见不符合</w:t>
      </w:r>
      <w:r>
        <w:rPr>
          <w:rFonts w:hint="eastAsia" w:ascii="宋体" w:hAnsi="宋体"/>
          <w:b/>
          <w:color w:val="auto"/>
          <w:szCs w:val="21"/>
          <w:highlight w:val="none"/>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宋体" w:hAnsi="宋体"/>
                <w:szCs w:val="21"/>
              </w:rPr>
              <w:t>四川鸿源环境检测技术咨询有限公司</w:t>
            </w:r>
            <w:r>
              <w:rPr>
                <w:rFonts w:hint="eastAsia" w:asciiTheme="minorEastAsia" w:hAnsiTheme="minorEastAsia" w:eastAsiaTheme="minorEastAsia"/>
                <w:sz w:val="24"/>
                <w:szCs w:val="24"/>
                <w:lang w:eastAsia="zh-CN"/>
              </w:rPr>
              <w:t>）</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hint="eastAsia" w:ascii="宋体" w:hAnsi="宋体" w:eastAsia="宋体"/>
                <w:b/>
                <w:szCs w:val="21"/>
                <w:highlight w:val="none"/>
                <w:lang w:eastAsia="zh-CN"/>
              </w:rPr>
            </w:pPr>
            <w:r>
              <w:rPr>
                <w:rFonts w:hint="eastAsia" w:ascii="宋体" w:hAnsi="宋体"/>
                <w:b/>
                <w:szCs w:val="21"/>
                <w:highlight w:val="none"/>
                <w:lang w:eastAsia="zh-CN"/>
              </w:rPr>
              <w:t>■</w:t>
            </w:r>
            <w:r>
              <w:rPr>
                <w:rFonts w:ascii="宋体" w:hAnsi="宋体"/>
                <w:b/>
                <w:szCs w:val="21"/>
                <w:highlight w:val="none"/>
              </w:rPr>
              <w:t>(</w:t>
            </w:r>
            <w:r>
              <w:rPr>
                <w:rFonts w:hint="eastAsia" w:ascii="宋体" w:hAnsi="宋体"/>
                <w:b/>
                <w:szCs w:val="21"/>
                <w:highlight w:val="none"/>
              </w:rPr>
              <w:t>在完成纠正措施后</w:t>
            </w:r>
            <w:r>
              <w:rPr>
                <w:rFonts w:ascii="宋体" w:hAnsi="宋体"/>
                <w:b/>
                <w:szCs w:val="21"/>
                <w:highlight w:val="none"/>
              </w:rPr>
              <w:t>)</w:t>
            </w:r>
            <w:r>
              <w:rPr>
                <w:rFonts w:hint="eastAsia" w:ascii="宋体" w:hAnsi="宋体"/>
                <w:b/>
                <w:szCs w:val="21"/>
                <w:highlight w:val="none"/>
              </w:rPr>
              <w:t>推荐保持（</w:t>
            </w:r>
            <w:r>
              <w:rPr>
                <w:rFonts w:hint="eastAsia" w:ascii="宋体" w:hAnsi="宋体"/>
                <w:b/>
                <w:szCs w:val="21"/>
                <w:highlight w:val="none"/>
                <w:lang w:eastAsia="zh-CN"/>
              </w:rPr>
              <w:t>■</w:t>
            </w:r>
            <w:r>
              <w:rPr>
                <w:rFonts w:ascii="宋体" w:hAnsi="宋体"/>
                <w:b/>
                <w:szCs w:val="21"/>
                <w:highlight w:val="none"/>
              </w:rPr>
              <w:t>QMS</w:t>
            </w:r>
            <w:r>
              <w:rPr>
                <w:rFonts w:hint="eastAsia" w:ascii="宋体" w:hAnsi="宋体"/>
                <w:b/>
                <w:szCs w:val="21"/>
                <w:highlight w:val="none"/>
              </w:rPr>
              <w:t>□50430</w:t>
            </w:r>
            <w:r>
              <w:rPr>
                <w:rFonts w:hint="eastAsia" w:ascii="宋体" w:hAnsi="宋体"/>
                <w:b/>
                <w:szCs w:val="21"/>
                <w:highlight w:val="none"/>
                <w:lang w:eastAsia="zh-CN"/>
              </w:rPr>
              <w:t>■</w:t>
            </w:r>
            <w:r>
              <w:rPr>
                <w:rFonts w:ascii="宋体" w:hAnsi="宋体"/>
                <w:b/>
                <w:szCs w:val="21"/>
                <w:highlight w:val="none"/>
              </w:rPr>
              <w:t xml:space="preserve">EMS  </w:t>
            </w:r>
            <w:r>
              <w:rPr>
                <w:rFonts w:hint="eastAsia" w:ascii="宋体" w:hAnsi="宋体"/>
                <w:b/>
                <w:szCs w:val="21"/>
                <w:highlight w:val="none"/>
                <w:lang w:eastAsia="zh-CN"/>
              </w:rPr>
              <w:t>■</w:t>
            </w:r>
            <w:r>
              <w:rPr>
                <w:rFonts w:ascii="宋体" w:hAnsi="宋体"/>
                <w:b/>
                <w:szCs w:val="21"/>
                <w:highlight w:val="none"/>
              </w:rPr>
              <w:t>OHSMS</w:t>
            </w:r>
            <w:r>
              <w:rPr>
                <w:rFonts w:hint="eastAsia" w:ascii="宋体" w:hAnsi="宋体"/>
                <w:b/>
                <w:szCs w:val="21"/>
                <w:highlight w:val="none"/>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ascii="宋体" w:hAnsi="宋体"/>
          <w:sz w:val="24"/>
        </w:rPr>
        <w:drawing>
          <wp:anchor distT="0" distB="0" distL="114300" distR="114300" simplePos="0" relativeHeight="251664384" behindDoc="0" locked="0" layoutInCell="1" allowOverlap="1">
            <wp:simplePos x="0" y="0"/>
            <wp:positionH relativeFrom="page">
              <wp:posOffset>2507615</wp:posOffset>
            </wp:positionH>
            <wp:positionV relativeFrom="page">
              <wp:posOffset>1092835</wp:posOffset>
            </wp:positionV>
            <wp:extent cx="824865" cy="512445"/>
            <wp:effectExtent l="0" t="0" r="13335" b="5715"/>
            <wp:wrapNone/>
            <wp:docPr id="2" name="图片 6"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新文档 2020-01-09 10"/>
                    <pic:cNvPicPr>
                      <a:picLocks noChangeAspect="1"/>
                    </pic:cNvPicPr>
                  </pic:nvPicPr>
                  <pic:blipFill>
                    <a:blip r:embed="rId6"/>
                    <a:stretch>
                      <a:fillRect/>
                    </a:stretch>
                  </pic:blipFill>
                  <pic:spPr>
                    <a:xfrm>
                      <a:off x="0" y="0"/>
                      <a:ext cx="824865" cy="51244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0" w:firstLineChars="250"/>
        <w:rPr>
          <w:rFonts w:hint="eastAsia"/>
          <w:b/>
          <w:sz w:val="21"/>
        </w:rPr>
      </w:pPr>
      <w:bookmarkStart w:id="28" w:name="_GoBack"/>
      <w:bookmarkEnd w:id="28"/>
      <w:r>
        <w:rPr>
          <w:rFonts w:hint="eastAsia" w:eastAsia="宋体"/>
          <w:sz w:val="22"/>
          <w:szCs w:val="22"/>
          <w:lang w:eastAsia="zh-CN"/>
        </w:rPr>
        <w:drawing>
          <wp:anchor distT="0" distB="0" distL="114300" distR="114300" simplePos="0" relativeHeight="251671552" behindDoc="0" locked="0" layoutInCell="1" allowOverlap="1">
            <wp:simplePos x="0" y="0"/>
            <wp:positionH relativeFrom="column">
              <wp:posOffset>3455670</wp:posOffset>
            </wp:positionH>
            <wp:positionV relativeFrom="paragraph">
              <wp:posOffset>243205</wp:posOffset>
            </wp:positionV>
            <wp:extent cx="508000" cy="341630"/>
            <wp:effectExtent l="0" t="0" r="10160" b="8890"/>
            <wp:wrapNone/>
            <wp:docPr id="5" name="图片 12" descr="c6bc8d82232cd8bc6519fc4dcd21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descr="c6bc8d82232cd8bc6519fc4dcd21ee2"/>
                    <pic:cNvPicPr>
                      <a:picLocks noChangeAspect="1"/>
                    </pic:cNvPicPr>
                  </pic:nvPicPr>
                  <pic:blipFill>
                    <a:blip r:embed="rId7"/>
                    <a:stretch>
                      <a:fillRect/>
                    </a:stretch>
                  </pic:blipFill>
                  <pic:spPr>
                    <a:xfrm>
                      <a:off x="0" y="0"/>
                      <a:ext cx="508000" cy="341630"/>
                    </a:xfrm>
                    <a:prstGeom prst="rect">
                      <a:avLst/>
                    </a:prstGeom>
                    <a:noFill/>
                    <a:ln>
                      <a:noFill/>
                    </a:ln>
                  </pic:spPr>
                </pic:pic>
              </a:graphicData>
            </a:graphic>
          </wp:anchor>
        </w:drawing>
      </w:r>
    </w:p>
    <w:p>
      <w:pPr>
        <w:snapToGrid w:val="0"/>
        <w:spacing w:before="163" w:beforeLines="50" w:line="320" w:lineRule="exact"/>
        <w:ind w:firstLine="550" w:firstLineChars="250"/>
        <w:rPr>
          <w:b/>
          <w:sz w:val="21"/>
        </w:rPr>
      </w:pPr>
      <w:r>
        <w:rPr>
          <w:rFonts w:hint="eastAsia" w:eastAsia="宋体"/>
          <w:sz w:val="22"/>
          <w:szCs w:val="22"/>
          <w:lang w:eastAsia="zh-CN"/>
        </w:rPr>
        <w:drawing>
          <wp:anchor distT="0" distB="0" distL="114300" distR="114300" simplePos="0" relativeHeight="251669504" behindDoc="0" locked="0" layoutInCell="1" allowOverlap="1">
            <wp:simplePos x="0" y="0"/>
            <wp:positionH relativeFrom="column">
              <wp:posOffset>2503805</wp:posOffset>
            </wp:positionH>
            <wp:positionV relativeFrom="paragraph">
              <wp:posOffset>60960</wp:posOffset>
            </wp:positionV>
            <wp:extent cx="909320" cy="308610"/>
            <wp:effectExtent l="0" t="0" r="5080" b="11430"/>
            <wp:wrapNone/>
            <wp:docPr id="4" name="图片 8"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d65153f20abdb73c162b984abccbf35"/>
                    <pic:cNvPicPr>
                      <a:picLocks noChangeAspect="1"/>
                    </pic:cNvPicPr>
                  </pic:nvPicPr>
                  <pic:blipFill>
                    <a:blip r:embed="rId8"/>
                    <a:srcRect l="7648" t="9871" r="7156" b="20799"/>
                    <a:stretch>
                      <a:fillRect/>
                    </a:stretch>
                  </pic:blipFill>
                  <pic:spPr>
                    <a:xfrm>
                      <a:off x="0" y="0"/>
                      <a:ext cx="909320" cy="308610"/>
                    </a:xfrm>
                    <a:prstGeom prst="rect">
                      <a:avLst/>
                    </a:prstGeom>
                    <a:noFill/>
                    <a:ln>
                      <a:noFill/>
                    </a:ln>
                  </pic:spPr>
                </pic:pic>
              </a:graphicData>
            </a:graphic>
          </wp:anchor>
        </w:drawing>
      </w:r>
      <w:r>
        <w:rPr>
          <w:rFonts w:hint="eastAsia" w:eastAsia="宋体"/>
          <w:lang w:eastAsia="zh-CN"/>
        </w:rPr>
        <w:drawing>
          <wp:anchor distT="0" distB="0" distL="114300" distR="114300" simplePos="0" relativeHeight="251665408" behindDoc="0" locked="0" layoutInCell="1" allowOverlap="1">
            <wp:simplePos x="0" y="0"/>
            <wp:positionH relativeFrom="column">
              <wp:posOffset>1687195</wp:posOffset>
            </wp:positionH>
            <wp:positionV relativeFrom="paragraph">
              <wp:posOffset>40005</wp:posOffset>
            </wp:positionV>
            <wp:extent cx="683895" cy="312420"/>
            <wp:effectExtent l="0" t="0" r="1905" b="7620"/>
            <wp:wrapNone/>
            <wp:docPr id="3"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87ac17c702f787ebcb7b5ad453f94b0"/>
                    <pic:cNvPicPr>
                      <a:picLocks noChangeAspect="1"/>
                    </pic:cNvPicPr>
                  </pic:nvPicPr>
                  <pic:blipFill>
                    <a:blip r:embed="rId9"/>
                    <a:stretch>
                      <a:fillRect/>
                    </a:stretch>
                  </pic:blipFill>
                  <pic:spPr>
                    <a:xfrm>
                      <a:off x="0" y="0"/>
                      <a:ext cx="683895" cy="312420"/>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4"/>
          <w:szCs w:val="24"/>
          <w:lang w:val="en-US" w:eastAsia="zh-CN"/>
        </w:rPr>
        <w:t>2021.3.6</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highlight w:val="none"/>
        </w:rPr>
      </w:pPr>
      <w:r>
        <w:rPr>
          <w:b/>
          <w:bCs/>
          <w:sz w:val="21"/>
          <w:szCs w:val="21"/>
          <w:highlight w:val="none"/>
        </w:rPr>
        <w:t>1.</w:t>
      </w:r>
      <w:r>
        <w:rPr>
          <w:rFonts w:hint="eastAsia"/>
          <w:b/>
          <w:bCs/>
          <w:sz w:val="21"/>
          <w:szCs w:val="21"/>
          <w:highlight w:val="none"/>
        </w:rPr>
        <w:t>审核中发现的</w:t>
      </w:r>
      <w:r>
        <w:rPr>
          <w:rFonts w:hint="eastAsia"/>
          <w:b/>
          <w:bCs/>
          <w:sz w:val="21"/>
          <w:szCs w:val="21"/>
          <w:highlight w:val="none"/>
          <w:lang w:eastAsia="zh-CN"/>
        </w:rPr>
        <w:t>■</w:t>
      </w:r>
      <w:r>
        <w:rPr>
          <w:b/>
          <w:sz w:val="21"/>
          <w:szCs w:val="21"/>
          <w:highlight w:val="none"/>
        </w:rPr>
        <w:t>QMS (</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EMS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个一般不符合，</w:t>
      </w:r>
      <w:r>
        <w:rPr>
          <w:b/>
          <w:sz w:val="21"/>
          <w:szCs w:val="21"/>
          <w:highlight w:val="none"/>
        </w:rPr>
        <w:t xml:space="preserve">(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OHSMS (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个严重不符合，□验证合格□仍有问题</w:t>
      </w:r>
      <w:r>
        <w:rPr>
          <w:rFonts w:hint="eastAsia"/>
          <w:b/>
          <w:bCs/>
          <w:sz w:val="21"/>
          <w:szCs w:val="21"/>
          <w:highlight w:val="none"/>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4651"/>
          <w:tab w:val="left" w:pos="7740"/>
        </w:tabs>
        <w:snapToGrid w:val="0"/>
        <w:spacing w:before="163" w:beforeLines="50"/>
        <w:ind w:firstLine="823" w:firstLineChars="343"/>
        <w:rPr>
          <w:rFonts w:hint="default"/>
          <w:b/>
          <w:sz w:val="21"/>
          <w:szCs w:val="21"/>
          <w:lang w:val="en-US" w:eastAsia="zh-CN"/>
        </w:rPr>
      </w:pPr>
      <w:r>
        <w:rPr>
          <w:rFonts w:ascii="宋体" w:hAnsi="宋体"/>
          <w:sz w:val="24"/>
        </w:rPr>
        <w:drawing>
          <wp:anchor distT="0" distB="0" distL="114300" distR="114300" simplePos="0" relativeHeight="251661312" behindDoc="0" locked="0" layoutInCell="1" allowOverlap="1">
            <wp:simplePos x="0" y="0"/>
            <wp:positionH relativeFrom="page">
              <wp:posOffset>1872615</wp:posOffset>
            </wp:positionH>
            <wp:positionV relativeFrom="page">
              <wp:posOffset>5072380</wp:posOffset>
            </wp:positionV>
            <wp:extent cx="764540" cy="475615"/>
            <wp:effectExtent l="0" t="0" r="12700" b="12065"/>
            <wp:wrapNone/>
            <wp:docPr id="1" name="图片 6"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新文档 2020-01-09 10"/>
                    <pic:cNvPicPr>
                      <a:picLocks noChangeAspect="1"/>
                    </pic:cNvPicPr>
                  </pic:nvPicPr>
                  <pic:blipFill>
                    <a:blip r:embed="rId6"/>
                    <a:stretch>
                      <a:fillRect/>
                    </a:stretch>
                  </pic:blipFill>
                  <pic:spPr>
                    <a:xfrm>
                      <a:off x="0" y="0"/>
                      <a:ext cx="764540" cy="475615"/>
                    </a:xfrm>
                    <a:prstGeom prst="rect">
                      <a:avLst/>
                    </a:prstGeom>
                    <a:noFill/>
                    <a:ln>
                      <a:noFill/>
                    </a:ln>
                  </pic:spPr>
                </pic:pic>
              </a:graphicData>
            </a:graphic>
          </wp:anchor>
        </w:drawing>
      </w:r>
      <w:r>
        <w:rPr>
          <w:rFonts w:hint="eastAsia"/>
          <w:b/>
          <w:sz w:val="21"/>
          <w:szCs w:val="21"/>
        </w:rPr>
        <w:t>组长签字：</w:t>
      </w:r>
      <w:r>
        <w:rPr>
          <w:rFonts w:hint="eastAsia"/>
          <w:b/>
          <w:sz w:val="21"/>
          <w:szCs w:val="21"/>
          <w:lang w:eastAsia="zh-CN"/>
        </w:rPr>
        <w:tab/>
      </w:r>
      <w:r>
        <w:rPr>
          <w:rFonts w:hint="eastAsia"/>
          <w:b/>
          <w:sz w:val="21"/>
          <w:szCs w:val="21"/>
          <w:lang w:eastAsia="zh-CN"/>
        </w:rPr>
        <w:t>日期：</w:t>
      </w:r>
      <w:r>
        <w:rPr>
          <w:rFonts w:hint="eastAsia"/>
          <w:b/>
          <w:sz w:val="24"/>
          <w:szCs w:val="24"/>
          <w:lang w:val="en-US" w:eastAsia="zh-CN"/>
        </w:rPr>
        <w:t>2021.3.9</w:t>
      </w:r>
    </w:p>
    <w:p>
      <w:pPr>
        <w:tabs>
          <w:tab w:val="left" w:pos="4651"/>
          <w:tab w:val="left" w:pos="7740"/>
        </w:tabs>
        <w:snapToGrid w:val="0"/>
        <w:spacing w:before="163" w:beforeLines="50"/>
        <w:ind w:firstLine="723" w:firstLineChars="343"/>
        <w:rPr>
          <w:rFonts w:hint="default"/>
          <w:b/>
          <w:sz w:val="21"/>
          <w:szCs w:val="21"/>
          <w:lang w:val="en-US" w:eastAsia="zh-CN"/>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A7BDFAB"/>
    <w:multiLevelType w:val="singleLevel"/>
    <w:tmpl w:val="DA7BDFAB"/>
    <w:lvl w:ilvl="0" w:tentative="0">
      <w:start w:val="2"/>
      <w:numFmt w:val="decimal"/>
      <w:suff w:val="nothing"/>
      <w:lvlText w:val="%1、"/>
      <w:lvlJc w:val="left"/>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2680083D"/>
    <w:multiLevelType w:val="singleLevel"/>
    <w:tmpl w:val="2680083D"/>
    <w:lvl w:ilvl="0" w:tentative="0">
      <w:start w:val="8"/>
      <w:numFmt w:val="decimal"/>
      <w:suff w:val="space"/>
      <w:lvlText w:val="%1."/>
      <w:lvlJc w:val="left"/>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EA38B9"/>
    <w:rsid w:val="18EA5292"/>
    <w:rsid w:val="1ED83200"/>
    <w:rsid w:val="2D701F4A"/>
    <w:rsid w:val="32282780"/>
    <w:rsid w:val="580970B4"/>
    <w:rsid w:val="5B5652D9"/>
    <w:rsid w:val="5C1F3099"/>
    <w:rsid w:val="68DF27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2021-03-08T14:03:57Z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