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四川鸿源环境检测技术咨询有限公司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Q:34.02.00</w:t>
            </w:r>
          </w:p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E:34.02.00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检测服务流程：接受委托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前期技术准备---开展现场监测---现场采集抽样——进行实验分析--编制监测报告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报告审核——交付报告</w:t>
            </w:r>
          </w:p>
          <w:p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评价验收流程：接受委托</w:t>
            </w:r>
            <w:r>
              <w:rPr>
                <w:rFonts w:ascii="宋体" w:hAnsi="宋体"/>
                <w:sz w:val="21"/>
                <w:szCs w:val="21"/>
              </w:rPr>
              <w:t>—</w:t>
            </w:r>
            <w:r>
              <w:rPr>
                <w:rFonts w:hint="eastAsia" w:ascii="宋体" w:hAnsi="宋体"/>
                <w:sz w:val="21"/>
                <w:szCs w:val="21"/>
              </w:rPr>
              <w:t>现场调查---收集资料---编制评价报告——报告审核——交付报告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监测、编制报告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atLeas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潜在火灾，固废排放，污水排放，化学药品泄漏挥发，管理方案和应急预案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潜在火灾，触电，交通意外伤害，化学品烧伤、中毒、烫伤，机械伤害，管理方案和应急预案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环境空气.PM&lt;下标 10&gt;和PM&lt;下标 2.5&gt;的测定.重量法Hj 618-2011、天然气.含硫化合物的测定.第2部分:用亚甲蓝法测定硫化氢含量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GB/T 11060.2-2008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、二次供水设施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卫生规范GB 17051-1997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、工作场所空气有毒物质测定 第1部分：总则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GBZ/T 300.1-2017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、生活饮用水标准检验方法 消毒剂指标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GB/T 5750.11-2006 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生活饮用水标准检验方法 金属指标GB/T 5750.6-2006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、室内空气质量标准</w:t>
            </w:r>
            <w:r>
              <w:rPr>
                <w:rFonts w:ascii="宋体" w:hAnsi="宋体"/>
                <w:snapToGrid w:val="0"/>
                <w:color w:val="000000"/>
                <w:kern w:val="0"/>
                <w:sz w:val="21"/>
                <w:szCs w:val="21"/>
              </w:rPr>
              <w:t>GB/T 18883-2002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 w:val="21"/>
                <w:szCs w:val="21"/>
              </w:rPr>
              <w:t>工作场所、工作场所空气有毒物质测定第23部分:锶及其化合物GBZ/T300.23-2017、工作场所空气有毒物质测定第24部分:钽及其化合物GBz/m30024-2017化锡、工作场所空气有毒物质测定第26部分:锡及其化合物GBz/T300.26-2017等标准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记录和报告规范性、标准符合性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3014980</wp:posOffset>
                  </wp:positionH>
                  <wp:positionV relativeFrom="page">
                    <wp:posOffset>466725</wp:posOffset>
                  </wp:positionV>
                  <wp:extent cx="824865" cy="512445"/>
                  <wp:effectExtent l="0" t="0" r="13335" b="5715"/>
                  <wp:wrapNone/>
                  <wp:docPr id="1" name="图片 2" descr="新文档 2020-01-09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新文档 2020-01-09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page">
                    <wp:posOffset>28575</wp:posOffset>
                  </wp:positionH>
                  <wp:positionV relativeFrom="page">
                    <wp:posOffset>412750</wp:posOffset>
                  </wp:positionV>
                  <wp:extent cx="824865" cy="512445"/>
                  <wp:effectExtent l="0" t="0" r="13335" b="5715"/>
                  <wp:wrapNone/>
                  <wp:docPr id="2" name="图片 3" descr="新文档 2020-01-09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新文档 2020-01-09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2021.3.5</w:t>
      </w:r>
      <w:r>
        <w:rPr>
          <w:rFonts w:ascii="宋体"/>
          <w:b/>
          <w:sz w:val="24"/>
          <w:szCs w:val="24"/>
        </w:rPr>
        <w:t xml:space="preserve">    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2021.3.5</w:t>
      </w:r>
      <w:r>
        <w:rPr>
          <w:rFonts w:ascii="宋体"/>
          <w:b/>
          <w:sz w:val="24"/>
          <w:szCs w:val="24"/>
        </w:rPr>
        <w:t xml:space="preserve"> 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64F60AA"/>
    <w:rsid w:val="3C15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2021-03-08T13:52:37Z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