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</w:t>
      </w:r>
      <w:r>
        <w:rPr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" w:char="00A8"/>
      </w:r>
      <w:bookmarkStart w:id="4" w:name="_GoBack"/>
      <w:bookmarkEnd w:id="4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18"/>
        <w:gridCol w:w="372"/>
        <w:gridCol w:w="1505"/>
        <w:gridCol w:w="163"/>
        <w:gridCol w:w="155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4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北京博识乐业人力资源有限公司</w:t>
            </w:r>
            <w:bookmarkEnd w:id="2"/>
          </w:p>
        </w:tc>
        <w:tc>
          <w:tcPr>
            <w:tcW w:w="20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Q：31.19.00;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张世君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Q：31.19.00;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李蒙生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许可范围内第二类增值电信业务中的信息服务业务（仅限互联网信息服务）</w:t>
            </w:r>
          </w:p>
          <w:p>
            <w:pPr>
              <w:ind w:firstLine="240" w:firstLineChars="1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实现流程为：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中标→硬件采购→网络环境搭建→系统部署→系统联调→系统测试→交付验收→售后服务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hAnsi="宋体"/>
                <w:color w:val="auto"/>
              </w:rPr>
              <w:t>因特网接入服务业务,主要是</w:t>
            </w:r>
            <w:r>
              <w:rPr>
                <w:rFonts w:hint="eastAsia"/>
                <w:color w:val="auto"/>
              </w:rPr>
              <w:t>为了保证系统的不中断运行，要求在网络设备的配置上，本地电路的配置按照双机热的要求设计。在网络连接上应消除单点故障，提供关键设备的故障切换。关键网络设备之间的物理链路采用双路冗余连接，按照负载均衡方式或</w:t>
            </w:r>
            <w:r>
              <w:rPr>
                <w:color w:val="auto"/>
              </w:rPr>
              <w:t>active-active</w:t>
            </w:r>
            <w:r>
              <w:rPr>
                <w:rFonts w:hint="eastAsia"/>
                <w:color w:val="auto"/>
              </w:rPr>
              <w:t>方式工作。关键主机可采用</w:t>
            </w:r>
            <w:r>
              <w:rPr>
                <w:rFonts w:hint="eastAsia" w:hAnsi="宋体"/>
                <w:color w:val="auto"/>
              </w:rPr>
              <w:t>双路网卡来增加可靠性。全冗余的方式使系统的可靠性达到</w:t>
            </w:r>
            <w:r>
              <w:rPr>
                <w:rFonts w:hAnsi="宋体"/>
                <w:color w:val="auto"/>
              </w:rPr>
              <w:t>99.999%</w:t>
            </w:r>
            <w:r>
              <w:rPr>
                <w:rFonts w:hint="eastAsia" w:hAnsi="宋体"/>
                <w:color w:val="auto"/>
              </w:rPr>
              <w:t>。三方回源链路保证能够稳定运行。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spacing w:val="-10"/>
                <w:sz w:val="20"/>
                <w:szCs w:val="20"/>
              </w:rPr>
              <w:t>《电信服务规范》第36号令</w:t>
            </w:r>
          </w:p>
          <w:p>
            <w:pPr>
              <w:rPr>
                <w:rFonts w:hint="eastAsia" w:ascii="宋体" w:hAns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spacing w:val="-10"/>
                <w:sz w:val="20"/>
                <w:szCs w:val="20"/>
              </w:rPr>
              <w:t>《中华人民共和国电信条例》国务院291号令</w:t>
            </w:r>
          </w:p>
          <w:p>
            <w:pPr>
              <w:rPr>
                <w:rFonts w:hint="eastAsia" w:ascii="宋体" w:hAns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spacing w:val="-10"/>
                <w:sz w:val="20"/>
                <w:szCs w:val="20"/>
              </w:rPr>
              <w:t>《互联网信息服务管理办法》国务院292号令</w:t>
            </w:r>
          </w:p>
          <w:p>
            <w:pPr>
              <w:rPr>
                <w:rFonts w:hint="eastAsia" w:ascii="宋体" w:hAns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spacing w:val="-10"/>
                <w:sz w:val="20"/>
                <w:szCs w:val="20"/>
              </w:rPr>
              <w:t>《互联网接入服务规范》工信部</w:t>
            </w:r>
          </w:p>
          <w:p>
            <w:pPr>
              <w:rPr>
                <w:rFonts w:ascii="宋体" w:hAns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/>
                <w:spacing w:val="-10"/>
                <w:sz w:val="20"/>
                <w:szCs w:val="20"/>
              </w:rPr>
              <w:t>GB/T9386 计算机软件测试文档编制规范等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0"/>
                <w:szCs w:val="20"/>
              </w:rPr>
              <w:t>NAT设备到用户和出口的互联调通，直至具备测试条件。满足用户点对点应答的具体要求。放开端口，用户对质量进行拨测、压力测试，给予用户相应时长的测试期，并协调用户对测试结果验收。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张世君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2021.3.8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AB3A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2021-03-13T15:45:30Z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789C9236889A43109819B4B26DA0B031</vt:lpwstr>
  </property>
</Properties>
</file>