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lang w:eastAsia="zh-CN"/>
              </w:rPr>
            </w:pPr>
            <w:r>
              <w:rPr>
                <w:rFonts w:hint="eastAsia"/>
              </w:rPr>
              <w:t>受审核部门：</w:t>
            </w:r>
            <w:r>
              <w:rPr>
                <w:rFonts w:hint="eastAsia" w:ascii="宋体" w:hAnsi="宋体"/>
                <w:szCs w:val="21"/>
              </w:rPr>
              <w:t>管理层、</w:t>
            </w:r>
            <w:bookmarkStart w:id="3" w:name="_GoBack"/>
            <w:bookmarkEnd w:id="3"/>
            <w:r>
              <w:rPr>
                <w:rFonts w:hint="eastAsia" w:ascii="宋体" w:hAnsi="宋体"/>
                <w:szCs w:val="21"/>
                <w:lang w:eastAsia="zh-CN"/>
              </w:rPr>
              <w:t>综合部</w:t>
            </w:r>
            <w:r>
              <w:rPr>
                <w:rFonts w:hint="eastAsia" w:ascii="宋体" w:hAnsi="宋体"/>
                <w:szCs w:val="21"/>
              </w:rPr>
              <w:t>、</w:t>
            </w:r>
            <w:r>
              <w:rPr>
                <w:rFonts w:hint="eastAsia" w:ascii="宋体" w:hAnsi="宋体"/>
                <w:szCs w:val="21"/>
                <w:lang w:eastAsia="zh-CN"/>
              </w:rPr>
              <w:t>技术部</w:t>
            </w:r>
          </w:p>
          <w:p>
            <w:pPr>
              <w:jc w:val="left"/>
            </w:pPr>
            <w:r>
              <w:rPr>
                <w:rFonts w:hint="eastAsia"/>
                <w:sz w:val="24"/>
                <w:szCs w:val="24"/>
              </w:rPr>
              <w:t>总经理：</w:t>
            </w:r>
            <w:r>
              <w:rPr>
                <w:rFonts w:hint="eastAsia"/>
              </w:rPr>
              <w:t>陈誉</w:t>
            </w:r>
            <w:r>
              <w:rPr>
                <w:rFonts w:hint="eastAsia"/>
                <w:lang w:val="en-US" w:eastAsia="zh-CN"/>
              </w:rPr>
              <w:t xml:space="preserve">   </w:t>
            </w:r>
            <w:r>
              <w:rPr>
                <w:rFonts w:hint="eastAsia"/>
                <w:szCs w:val="22"/>
              </w:rPr>
              <w:t xml:space="preserve"> 管代：</w:t>
            </w:r>
            <w:r>
              <w:rPr>
                <w:rFonts w:hint="eastAsia"/>
              </w:rPr>
              <w:t>岳琳</w:t>
            </w:r>
            <w:r>
              <w:rPr>
                <w:rFonts w:hint="eastAsia"/>
                <w:lang w:val="en-US" w:eastAsia="zh-CN"/>
              </w:rPr>
              <w:t xml:space="preserve">   </w:t>
            </w:r>
            <w:r>
              <w:rPr>
                <w:rFonts w:hint="eastAsia"/>
              </w:rPr>
              <w:t xml:space="preserve"> </w:t>
            </w:r>
            <w:r>
              <w:rPr>
                <w:rFonts w:hint="eastAsia" w:ascii="宋体" w:hAnsi="宋体"/>
                <w:szCs w:val="21"/>
              </w:rPr>
              <w:t>员工代表：</w:t>
            </w:r>
            <w:r>
              <w:rPr>
                <w:rFonts w:hint="eastAsia"/>
              </w:rPr>
              <w:t>宋中奇</w:t>
            </w:r>
            <w:r>
              <w:rPr>
                <w:rFonts w:hint="eastAsia"/>
                <w:lang w:val="en-US" w:eastAsia="zh-CN"/>
              </w:rPr>
              <w:t xml:space="preserve">   </w:t>
            </w:r>
            <w:r>
              <w:rPr>
                <w:rFonts w:hint="eastAsia"/>
              </w:rPr>
              <w:t xml:space="preserve"> </w:t>
            </w:r>
            <w:r>
              <w:t xml:space="preserve">  </w:t>
            </w:r>
            <w:r>
              <w:rPr>
                <w:rFonts w:hint="eastAsia"/>
              </w:rPr>
              <w:t xml:space="preserve">陪同人员：周爱国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 xml:space="preserve">审核员：李京田   审核时间： </w:t>
            </w:r>
            <w:r>
              <w:rPr>
                <w:rFonts w:hint="eastAsia"/>
                <w:sz w:val="24"/>
                <w:szCs w:val="24"/>
                <w:lang w:val="en-US" w:eastAsia="zh-CN"/>
              </w:rPr>
              <w:t>2021.3.4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szCs w:val="21"/>
              </w:rPr>
            </w:pPr>
            <w:r>
              <w:rPr>
                <w:rFonts w:hint="eastAsia"/>
                <w:szCs w:val="21"/>
              </w:rPr>
              <w:t>企业名称确认</w:t>
            </w:r>
          </w:p>
          <w:p>
            <w:pPr>
              <w:spacing w:line="400" w:lineRule="exact"/>
              <w:rPr>
                <w:szCs w:val="21"/>
              </w:rPr>
            </w:pPr>
            <w:r>
              <w:rPr>
                <w:rFonts w:hint="eastAsia"/>
                <w:szCs w:val="21"/>
              </w:rPr>
              <w:t>地址（包括注册地址、生产/经营地址）、多场所地址等</w:t>
            </w:r>
          </w:p>
          <w:p>
            <w:pPr>
              <w:spacing w:line="400" w:lineRule="exact"/>
              <w:rPr>
                <w:szCs w:val="21"/>
              </w:rPr>
            </w:pPr>
            <w:r>
              <w:rPr>
                <w:rFonts w:hint="eastAsia"/>
                <w:szCs w:val="21"/>
              </w:rPr>
              <w:t>营业执照、组织机构代码证、相关资质的有效性确认</w:t>
            </w:r>
          </w:p>
          <w:p>
            <w:pPr>
              <w:spacing w:line="400" w:lineRule="exact"/>
              <w:rPr>
                <w:szCs w:val="21"/>
              </w:rPr>
            </w:pPr>
            <w:r>
              <w:rPr>
                <w:rFonts w:hint="eastAsia"/>
                <w:szCs w:val="21"/>
              </w:rPr>
              <w:t>管理体系运行起始日</w:t>
            </w:r>
          </w:p>
          <w:p>
            <w:pPr>
              <w:spacing w:line="400" w:lineRule="exact"/>
              <w:rPr>
                <w:szCs w:val="21"/>
              </w:rPr>
            </w:pPr>
            <w:r>
              <w:rPr>
                <w:rFonts w:hint="eastAsia"/>
                <w:szCs w:val="21"/>
              </w:rPr>
              <w:t>确认组织实际与管理体系文件描述的一致性</w:t>
            </w:r>
          </w:p>
          <w:p>
            <w:pPr>
              <w:spacing w:line="400" w:lineRule="exact"/>
              <w:rPr>
                <w:szCs w:val="21"/>
              </w:rPr>
            </w:pPr>
            <w:r>
              <w:rPr>
                <w:rFonts w:hint="eastAsia"/>
                <w:szCs w:val="21"/>
              </w:rPr>
              <w:t>组织机构（如部门设置和负责人，服务过程）</w:t>
            </w:r>
          </w:p>
          <w:p>
            <w:pPr>
              <w:spacing w:line="400" w:lineRule="exact"/>
              <w:rPr>
                <w:szCs w:val="21"/>
              </w:rPr>
            </w:pPr>
            <w:r>
              <w:rPr>
                <w:rFonts w:hint="eastAsia"/>
                <w:szCs w:val="21"/>
              </w:rPr>
              <w:t>认证范围产品用途、顾客群等</w:t>
            </w:r>
          </w:p>
          <w:p>
            <w:pPr>
              <w:pStyle w:val="2"/>
            </w:pPr>
          </w:p>
          <w:p>
            <w:pPr>
              <w:spacing w:line="400" w:lineRule="exact"/>
              <w:rPr>
                <w:szCs w:val="21"/>
              </w:rPr>
            </w:pPr>
            <w:r>
              <w:rPr>
                <w:rFonts w:hint="eastAsia"/>
                <w:szCs w:val="21"/>
              </w:rPr>
              <w:t>相关法规</w:t>
            </w:r>
          </w:p>
          <w:p>
            <w:pPr>
              <w:spacing w:line="400" w:lineRule="exact"/>
              <w:rPr>
                <w:szCs w:val="21"/>
              </w:rPr>
            </w:pPr>
            <w:r>
              <w:rPr>
                <w:rFonts w:hint="eastAsia"/>
                <w:szCs w:val="21"/>
              </w:rPr>
              <w:t>环评报告及环评验收</w:t>
            </w:r>
          </w:p>
          <w:p>
            <w:pPr>
              <w:spacing w:line="400" w:lineRule="exact"/>
              <w:rPr>
                <w:szCs w:val="21"/>
              </w:rPr>
            </w:pPr>
            <w:r>
              <w:rPr>
                <w:rFonts w:hint="eastAsia"/>
                <w:szCs w:val="21"/>
              </w:rPr>
              <w:t>执行的排污标准（EMS）顾客及相关方投诉</w:t>
            </w: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r>
              <w:rPr>
                <w:rFonts w:hint="eastAsia"/>
                <w:szCs w:val="21"/>
              </w:rPr>
              <w:t>方针、目标、指标和方案情况</w:t>
            </w:r>
          </w:p>
          <w:p/>
          <w:p/>
          <w:p/>
          <w:p/>
          <w:p/>
          <w:p/>
          <w:p/>
          <w:p>
            <w:pPr>
              <w:pStyle w:val="2"/>
              <w:rPr>
                <w:szCs w:val="21"/>
              </w:rPr>
            </w:pPr>
          </w:p>
          <w:p>
            <w:pPr>
              <w:pStyle w:val="2"/>
              <w:rPr>
                <w:szCs w:val="21"/>
              </w:rPr>
            </w:pPr>
          </w:p>
          <w:p>
            <w:pPr>
              <w:pStyle w:val="2"/>
            </w:pPr>
          </w:p>
          <w:p>
            <w:pPr>
              <w:spacing w:line="400" w:lineRule="exact"/>
              <w:rPr>
                <w:szCs w:val="21"/>
              </w:rPr>
            </w:pPr>
            <w:r>
              <w:rPr>
                <w:rFonts w:hint="eastAsia"/>
                <w:szCs w:val="21"/>
              </w:rPr>
              <w:t xml:space="preserve">合规性评价报告 </w:t>
            </w:r>
          </w:p>
          <w:p>
            <w:pPr>
              <w:spacing w:line="400" w:lineRule="exact"/>
              <w:rPr>
                <w:szCs w:val="21"/>
              </w:rPr>
            </w:pPr>
            <w:r>
              <w:rPr>
                <w:rFonts w:hint="eastAsia"/>
                <w:szCs w:val="21"/>
              </w:rPr>
              <w:t>环境相关监测报告（EMS、OHS）</w:t>
            </w:r>
          </w:p>
          <w:p>
            <w:pPr>
              <w:spacing w:line="400" w:lineRule="exact"/>
              <w:rPr>
                <w:szCs w:val="21"/>
              </w:rPr>
            </w:pPr>
          </w:p>
          <w:p>
            <w:pPr>
              <w:spacing w:line="400" w:lineRule="exact"/>
              <w:rPr>
                <w:szCs w:val="21"/>
              </w:rPr>
            </w:pPr>
            <w:r>
              <w:rPr>
                <w:rFonts w:hint="eastAsia"/>
                <w:szCs w:val="21"/>
              </w:rPr>
              <w:t>重要环境因素（EMS）</w:t>
            </w:r>
          </w:p>
          <w:p>
            <w:pPr>
              <w:spacing w:line="400" w:lineRule="exact"/>
              <w:rPr>
                <w:szCs w:val="21"/>
              </w:rPr>
            </w:pPr>
            <w:r>
              <w:rPr>
                <w:rFonts w:hint="eastAsia"/>
                <w:szCs w:val="21"/>
              </w:rPr>
              <w:t>不可接受危险源</w:t>
            </w:r>
          </w:p>
          <w:p>
            <w:pPr>
              <w:spacing w:line="400" w:lineRule="exact"/>
              <w:rPr>
                <w:szCs w:val="21"/>
              </w:rPr>
            </w:pPr>
          </w:p>
          <w:p>
            <w:pPr>
              <w:pStyle w:val="2"/>
              <w:rPr>
                <w:szCs w:val="21"/>
              </w:rPr>
            </w:pPr>
          </w:p>
          <w:p>
            <w:pPr>
              <w:pStyle w:val="2"/>
              <w:rPr>
                <w:szCs w:val="21"/>
              </w:rPr>
            </w:pPr>
          </w:p>
          <w:p>
            <w:pPr>
              <w:pStyle w:val="2"/>
              <w:rPr>
                <w:szCs w:val="21"/>
              </w:rPr>
            </w:pPr>
          </w:p>
          <w:p>
            <w:pPr>
              <w:pStyle w:val="2"/>
              <w:rPr>
                <w:szCs w:val="21"/>
              </w:rPr>
            </w:pPr>
          </w:p>
          <w:p>
            <w:pPr>
              <w:spacing w:line="400" w:lineRule="exact"/>
              <w:rPr>
                <w:szCs w:val="21"/>
              </w:rPr>
            </w:pPr>
            <w:r>
              <w:rPr>
                <w:rFonts w:hint="eastAsia"/>
                <w:szCs w:val="21"/>
              </w:rPr>
              <w:t>内审情况</w:t>
            </w:r>
          </w:p>
          <w:p>
            <w:pPr>
              <w:pStyle w:val="2"/>
              <w:rPr>
                <w:szCs w:val="21"/>
              </w:rPr>
            </w:pPr>
          </w:p>
          <w:p>
            <w:pPr>
              <w:pStyle w:val="2"/>
              <w:rPr>
                <w:szCs w:val="21"/>
              </w:rPr>
            </w:pPr>
          </w:p>
          <w:p>
            <w:pPr>
              <w:spacing w:line="400" w:lineRule="exact"/>
              <w:rPr>
                <w:szCs w:val="21"/>
              </w:rPr>
            </w:pPr>
            <w:r>
              <w:rPr>
                <w:rFonts w:hint="eastAsia"/>
                <w:szCs w:val="21"/>
              </w:rPr>
              <w:t>管理评审</w:t>
            </w:r>
          </w:p>
          <w:p>
            <w:pPr>
              <w:spacing w:line="400" w:lineRule="exact"/>
              <w:rPr>
                <w:szCs w:val="21"/>
              </w:rPr>
            </w:pPr>
            <w:r>
              <w:rPr>
                <w:rFonts w:hint="eastAsia"/>
                <w:szCs w:val="21"/>
              </w:rPr>
              <w:t>特种设备</w:t>
            </w:r>
          </w:p>
          <w:p>
            <w:pPr>
              <w:spacing w:line="400" w:lineRule="exact"/>
              <w:rPr>
                <w:szCs w:val="21"/>
              </w:rPr>
            </w:pPr>
            <w:r>
              <w:rPr>
                <w:rFonts w:hint="eastAsia"/>
                <w:szCs w:val="21"/>
              </w:rPr>
              <w:t>环保、安全设施（EMS、OHS）</w:t>
            </w:r>
          </w:p>
          <w:p>
            <w:pPr>
              <w:spacing w:line="400" w:lineRule="exact"/>
              <w:rPr>
                <w:szCs w:val="21"/>
              </w:rPr>
            </w:pPr>
            <w:r>
              <w:rPr>
                <w:rFonts w:hint="eastAsia"/>
                <w:szCs w:val="21"/>
              </w:rPr>
              <w:t>环保\安全监测设备（EMS、OHS）</w:t>
            </w:r>
          </w:p>
          <w:p/>
          <w:p>
            <w:pPr>
              <w:spacing w:line="400" w:lineRule="exact"/>
              <w:rPr>
                <w:szCs w:val="21"/>
              </w:rPr>
            </w:pPr>
          </w:p>
          <w:p>
            <w:pPr>
              <w:spacing w:line="400" w:lineRule="exact"/>
              <w:rPr>
                <w:szCs w:val="21"/>
              </w:rPr>
            </w:pPr>
            <w:r>
              <w:rPr>
                <w:rFonts w:hint="eastAsia"/>
                <w:szCs w:val="21"/>
              </w:rPr>
              <w:t>现场情况</w:t>
            </w:r>
          </w:p>
          <w:p>
            <w:pPr>
              <w:pStyle w:val="6"/>
              <w:jc w:val="both"/>
              <w:rPr>
                <w:rFonts w:hint="eastAsia"/>
                <w:sz w:val="21"/>
                <w:szCs w:val="21"/>
              </w:rPr>
            </w:pPr>
          </w:p>
          <w:p>
            <w:pPr>
              <w:pStyle w:val="6"/>
              <w:rPr>
                <w:sz w:val="21"/>
                <w:szCs w:val="21"/>
              </w:rPr>
            </w:pPr>
          </w:p>
          <w:p>
            <w:pPr>
              <w:pStyle w:val="2"/>
              <w:rPr>
                <w:bCs w:val="0"/>
                <w:spacing w:val="0"/>
                <w:szCs w:val="21"/>
              </w:rPr>
            </w:pPr>
            <w:r>
              <w:rPr>
                <w:rFonts w:hint="eastAsia"/>
                <w:bCs w:val="0"/>
                <w:spacing w:val="0"/>
                <w:szCs w:val="21"/>
              </w:rPr>
              <w:t>应急准备与响应</w:t>
            </w:r>
          </w:p>
          <w:p>
            <w:pPr>
              <w:pStyle w:val="2"/>
            </w:pPr>
          </w:p>
          <w:p>
            <w:pPr>
              <w:pStyle w:val="2"/>
            </w:pPr>
          </w:p>
          <w:p>
            <w:pPr>
              <w:spacing w:line="280" w:lineRule="exact"/>
              <w:rPr>
                <w:rFonts w:ascii="宋体" w:hAnsi="宋体" w:cs="宋体"/>
                <w:szCs w:val="21"/>
              </w:rPr>
            </w:pPr>
            <w:r>
              <w:rPr>
                <w:rFonts w:hint="eastAsia" w:ascii="宋体" w:hAnsi="宋体" w:cs="宋体"/>
                <w:szCs w:val="21"/>
              </w:rPr>
              <w:t>应对风险和机遇的措施</w:t>
            </w:r>
          </w:p>
          <w:p>
            <w:pPr>
              <w:pStyle w:val="2"/>
            </w:pPr>
          </w:p>
          <w:p>
            <w:pPr>
              <w:pStyle w:val="2"/>
            </w:pPr>
          </w:p>
          <w:p>
            <w:pPr>
              <w:pStyle w:val="6"/>
            </w:pPr>
          </w:p>
        </w:tc>
        <w:tc>
          <w:tcPr>
            <w:tcW w:w="960" w:type="dxa"/>
          </w:tcPr>
          <w:p/>
        </w:tc>
        <w:tc>
          <w:tcPr>
            <w:tcW w:w="10004" w:type="dxa"/>
          </w:tcPr>
          <w:p>
            <w:pPr>
              <w:rPr>
                <w:rFonts w:ascii="Arial" w:hAnsi="Arial" w:cs="Arial"/>
                <w:color w:val="333333"/>
              </w:rPr>
            </w:pPr>
            <w:bookmarkStart w:id="0" w:name="_Hlk26865933"/>
            <w:r>
              <w:rPr>
                <w:rStyle w:val="15"/>
                <w:rFonts w:hint="eastAsia" w:ascii="Arial" w:hAnsi="Arial" w:cs="Arial"/>
                <w:color w:val="333333"/>
              </w:rPr>
              <w:t xml:space="preserve">大禹环服（北京）科技有限公司,2016年2月18日成立，营业期限：2036年2月17日，注册资金：3000万，企业信用代码：91110108MA003MCW1D，注册地址：北京市海淀区上地十街1号院2号楼14层1401-2。大禹环服（北京）科技有限公司从事离子交换净化设备、电渗析净化设备、水处理设备的设计开发及咨询服务。 </w:t>
            </w:r>
          </w:p>
          <w:p>
            <w:pPr>
              <w:pStyle w:val="2"/>
              <w:rPr>
                <w:bCs w:val="0"/>
                <w:spacing w:val="0"/>
                <w:szCs w:val="21"/>
              </w:rPr>
            </w:pPr>
            <w:r>
              <w:rPr>
                <w:rFonts w:hint="eastAsia"/>
                <w:bCs w:val="0"/>
                <w:spacing w:val="0"/>
                <w:szCs w:val="21"/>
              </w:rPr>
              <w:t>经营范围</w:t>
            </w:r>
            <w:r>
              <w:rPr>
                <w:rStyle w:val="15"/>
                <w:rFonts w:hint="eastAsia" w:ascii="Arial" w:hAnsi="Arial" w:eastAsia="宋体" w:cs="Arial"/>
                <w:bCs w:val="0"/>
                <w:color w:val="333333"/>
                <w:spacing w:val="0"/>
                <w:kern w:val="2"/>
                <w:sz w:val="21"/>
                <w:szCs w:val="22"/>
                <w:lang w:val="en-US" w:eastAsia="zh-CN" w:bidi="ar-SA"/>
              </w:rPr>
              <w:t>：经营范围包括技术开发、技术转让、技术咨询、技术推广、技术服务；计算机技术培训（不得面向全国招生）；计算机系统服务；销售自行开发后的产品、机械设备、化工产品（不含危险化学品及一类易制毒化学品）；大气污染治理；固体废物污染治理；水污染治理；产品设计；工程勘察设计；建设工程项目管理；货物进出口、技术进出口、代理进出口。（市场主体依法自主选择经营项目，开展经营活动；依法须经批准的项目，经相关部门批准后依批准的内容开展经营活动；不得从事国家和本市产业政策禁止和限制类项目的经营活动。）。公司的主要客户群为轨道交通企业；公司采用总经理负责制，层层把关，让用户真正放心</w:t>
            </w:r>
          </w:p>
          <w:bookmarkEnd w:id="0"/>
          <w:p>
            <w:pPr>
              <w:spacing w:line="400" w:lineRule="exact"/>
              <w:rPr>
                <w:szCs w:val="21"/>
              </w:rPr>
            </w:pPr>
            <w:r>
              <w:rPr>
                <w:rFonts w:hint="eastAsia"/>
                <w:szCs w:val="21"/>
              </w:rPr>
              <w:t>现场查验：</w:t>
            </w:r>
          </w:p>
          <w:p>
            <w:pPr>
              <w:spacing w:line="40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见到营业执照，见附件。</w:t>
            </w:r>
          </w:p>
          <w:p>
            <w:pPr>
              <w:rPr>
                <w:color w:val="FF0000"/>
                <w:szCs w:val="21"/>
              </w:rPr>
            </w:pPr>
          </w:p>
          <w:p>
            <w:r>
              <w:rPr>
                <w:rFonts w:hint="eastAsia"/>
                <w:szCs w:val="21"/>
              </w:rPr>
              <w:t>注册地址：</w:t>
            </w:r>
            <w:bookmarkStart w:id="1" w:name="注册地址"/>
            <w:r>
              <w:t>北京市海淀区上地十街1号院2号楼14层1401-2</w:t>
            </w:r>
            <w:bookmarkEnd w:id="1"/>
          </w:p>
          <w:p>
            <w:pPr>
              <w:rPr>
                <w:szCs w:val="21"/>
              </w:rPr>
            </w:pPr>
            <w:r>
              <w:rPr>
                <w:rFonts w:hint="eastAsia"/>
                <w:szCs w:val="21"/>
              </w:rPr>
              <w:t>经营地址：</w:t>
            </w:r>
            <w:r>
              <w:t>北京市海淀区上地十街1号院2号楼14层1401-2</w:t>
            </w:r>
            <w:r>
              <w:rPr>
                <w:rFonts w:hint="eastAsia"/>
              </w:rPr>
              <w:t>，无库房</w:t>
            </w:r>
            <w:r>
              <w:t xml:space="preserve"> </w:t>
            </w:r>
          </w:p>
          <w:p>
            <w:pPr>
              <w:rPr>
                <w:szCs w:val="21"/>
              </w:rPr>
            </w:pPr>
            <w:r>
              <w:rPr>
                <w:rFonts w:hint="eastAsia"/>
                <w:szCs w:val="21"/>
              </w:rPr>
              <w:t>现场确认范围</w:t>
            </w:r>
          </w:p>
          <w:p>
            <w:pPr>
              <w:rPr>
                <w:rFonts w:hint="eastAsia"/>
                <w:color w:val="000000"/>
                <w:szCs w:val="21"/>
              </w:rPr>
            </w:pPr>
            <w:bookmarkStart w:id="2" w:name="审核范围"/>
            <w:r>
              <w:rPr>
                <w:rFonts w:hint="eastAsia" w:ascii="宋体" w:hAnsi="宋体"/>
                <w:szCs w:val="21"/>
              </w:rPr>
              <w:t>E：离子交换净化设备、电渗析净化设备、水处理设备的设计开发及咨询服务所涉及场所的相关环境管理活动</w:t>
            </w:r>
          </w:p>
          <w:p>
            <w:pPr>
              <w:spacing w:line="360" w:lineRule="auto"/>
              <w:rPr>
                <w:szCs w:val="21"/>
              </w:rPr>
            </w:pPr>
            <w:r>
              <w:rPr>
                <w:rFonts w:hint="eastAsia" w:ascii="宋体" w:hAnsi="宋体"/>
                <w:szCs w:val="21"/>
              </w:rPr>
              <w:t>O：离子交换净化设备、电渗析净化设备、水处理设备的设计开发及咨询服务所涉及场所的相关职业健康安全管理活动</w:t>
            </w:r>
            <w:bookmarkEnd w:id="2"/>
            <w:r>
              <w:rPr>
                <w:rFonts w:hint="eastAsia" w:ascii="宋体" w:hAnsi="宋体"/>
                <w:szCs w:val="21"/>
              </w:rPr>
              <w:t xml:space="preserve"> </w:t>
            </w:r>
            <w:r>
              <w:rPr>
                <w:rFonts w:hint="eastAsia"/>
                <w:szCs w:val="21"/>
              </w:rPr>
              <w:t>组织机构：</w:t>
            </w:r>
            <w:r>
              <w:rPr>
                <w:rFonts w:hint="eastAsia" w:ascii="宋体" w:hAnsi="宋体"/>
                <w:szCs w:val="21"/>
              </w:rPr>
              <w:t>管理层、综合部、</w:t>
            </w:r>
            <w:r>
              <w:rPr>
                <w:rFonts w:hint="eastAsia" w:ascii="宋体" w:hAnsi="宋体"/>
                <w:szCs w:val="21"/>
                <w:lang w:eastAsia="zh-CN"/>
              </w:rPr>
              <w:t>技术部</w:t>
            </w:r>
          </w:p>
          <w:p>
            <w:pPr>
              <w:tabs>
                <w:tab w:val="left" w:pos="6390"/>
              </w:tabs>
              <w:spacing w:line="360" w:lineRule="auto"/>
              <w:rPr>
                <w:rFonts w:ascii="华文中宋" w:hAnsi="华文中宋" w:eastAsia="华文中宋" w:cs="宋体"/>
                <w:b/>
                <w:szCs w:val="21"/>
                <w:lang w:val="zh-CN"/>
              </w:rPr>
            </w:pPr>
            <w:r>
              <w:rPr>
                <w:rFonts w:hint="eastAsia" w:ascii="华文中宋" w:hAnsi="华文中宋" w:eastAsia="华文中宋" w:cs="宋体"/>
                <w:b/>
                <w:szCs w:val="21"/>
                <w:lang w:val="zh-CN"/>
              </w:rPr>
              <w:t xml:space="preserve"> 产品实现流程：</w:t>
            </w:r>
          </w:p>
          <w:p>
            <w:pPr>
              <w:spacing w:line="360" w:lineRule="auto"/>
              <w:rPr>
                <w:rFonts w:hint="eastAsia" w:ascii="宋体" w:hAnsi="宋体" w:cs="Times New Roman"/>
                <w:szCs w:val="21"/>
                <w:lang w:eastAsia="zh-CN"/>
              </w:rPr>
            </w:pPr>
            <w:r>
              <w:rPr>
                <w:rFonts w:hint="eastAsia" w:ascii="宋体" w:hAnsi="宋体" w:cs="Times New Roman"/>
                <w:szCs w:val="21"/>
                <w:lang w:eastAsia="zh-CN"/>
              </w:rPr>
              <w:t>设计开发流程：业务立项-技术研判--应用性开发-设计方案、图纸---测试--改进-投用。</w:t>
            </w:r>
          </w:p>
          <w:p>
            <w:pPr>
              <w:spacing w:line="360" w:lineRule="auto"/>
              <w:rPr>
                <w:rFonts w:hint="eastAsia" w:ascii="宋体" w:hAnsi="宋体" w:cs="Times New Roman"/>
                <w:szCs w:val="21"/>
                <w:lang w:val="zh-CN"/>
              </w:rPr>
            </w:pPr>
            <w:r>
              <w:rPr>
                <w:rFonts w:hint="eastAsia" w:ascii="宋体" w:hAnsi="宋体" w:cs="Times New Roman"/>
                <w:szCs w:val="21"/>
                <w:lang w:eastAsia="zh-CN"/>
              </w:rPr>
              <w:t>咨询服务：客户需求--技术人员研究-出咨询方案计划--出咨询方案---客户确认—交付—后续服务</w:t>
            </w:r>
          </w:p>
          <w:p>
            <w:pPr>
              <w:rPr>
                <w:szCs w:val="21"/>
              </w:rPr>
            </w:pPr>
          </w:p>
          <w:p>
            <w:pPr>
              <w:pStyle w:val="6"/>
              <w:pBdr>
                <w:bottom w:val="none" w:color="auto" w:sz="0" w:space="0"/>
              </w:pBdr>
              <w:tabs>
                <w:tab w:val="center" w:pos="5737"/>
                <w:tab w:val="clear" w:pos="4153"/>
              </w:tabs>
              <w:jc w:val="left"/>
              <w:rPr>
                <w:sz w:val="21"/>
                <w:szCs w:val="21"/>
              </w:rPr>
            </w:pPr>
            <w:r>
              <w:rPr>
                <w:rFonts w:hint="eastAsia"/>
                <w:sz w:val="21"/>
                <w:szCs w:val="21"/>
              </w:rPr>
              <w:t>提供了法律、法规和其他要求清单</w:t>
            </w:r>
          </w:p>
          <w:p>
            <w:pPr>
              <w:pStyle w:val="6"/>
              <w:pBdr>
                <w:bottom w:val="none" w:color="auto" w:sz="0" w:space="0"/>
              </w:pBdr>
              <w:tabs>
                <w:tab w:val="center" w:pos="5737"/>
                <w:tab w:val="clear" w:pos="4153"/>
              </w:tabs>
              <w:jc w:val="left"/>
              <w:rPr>
                <w:sz w:val="21"/>
                <w:szCs w:val="21"/>
              </w:rPr>
            </w:pPr>
          </w:p>
          <w:p>
            <w:pPr>
              <w:spacing w:line="560" w:lineRule="exact"/>
              <w:ind w:firstLine="420" w:firstLineChars="200"/>
              <w:rPr>
                <w:color w:val="FF0000"/>
              </w:rPr>
            </w:pPr>
            <w:r>
              <w:rPr>
                <w:rFonts w:hint="eastAsia" w:ascii="宋体" w:hAnsi="宋体" w:cs="宋体"/>
                <w:kern w:val="0"/>
                <w:szCs w:val="21"/>
              </w:rPr>
              <w:t>提供《适用的法律法规清单》</w:t>
            </w:r>
          </w:p>
          <w:p>
            <w:pPr>
              <w:pStyle w:val="6"/>
              <w:pBdr>
                <w:bottom w:val="none" w:color="auto" w:sz="0" w:space="0"/>
              </w:pBdr>
              <w:tabs>
                <w:tab w:val="center" w:pos="5737"/>
                <w:tab w:val="clear" w:pos="4153"/>
              </w:tabs>
              <w:jc w:val="left"/>
              <w:rPr>
                <w:rFonts w:ascii="宋体" w:hAnsi="宋体" w:cs="宋体"/>
                <w:kern w:val="0"/>
                <w:szCs w:val="21"/>
              </w:rPr>
            </w:pPr>
          </w:p>
          <w:p>
            <w:pPr>
              <w:rPr>
                <w:szCs w:val="21"/>
              </w:rPr>
            </w:pPr>
            <w:r>
              <w:rPr>
                <w:rFonts w:hint="eastAsia"/>
                <w:szCs w:val="21"/>
              </w:rPr>
              <w:t>不需要环评报告、环境检测报告等</w:t>
            </w:r>
          </w:p>
          <w:p>
            <w:pPr>
              <w:rPr>
                <w:szCs w:val="21"/>
              </w:rPr>
            </w:pPr>
            <w:r>
              <w:rPr>
                <w:rFonts w:hint="eastAsia"/>
                <w:szCs w:val="21"/>
              </w:rPr>
              <w:t>相关方投诉情况：无。</w:t>
            </w:r>
          </w:p>
          <w:p>
            <w:pPr>
              <w:pStyle w:val="6"/>
              <w:pBdr>
                <w:bottom w:val="none" w:color="auto" w:sz="0" w:space="0"/>
              </w:pBdr>
              <w:tabs>
                <w:tab w:val="center" w:pos="5737"/>
                <w:tab w:val="clear" w:pos="4153"/>
              </w:tabs>
              <w:jc w:val="left"/>
              <w:rPr>
                <w:sz w:val="24"/>
                <w:szCs w:val="24"/>
                <w:u w:val="single"/>
              </w:rPr>
            </w:pPr>
          </w:p>
          <w:p>
            <w:pPr>
              <w:spacing w:line="440" w:lineRule="exact"/>
              <w:rPr>
                <w:sz w:val="24"/>
                <w:szCs w:val="24"/>
              </w:rPr>
            </w:pPr>
            <w:r>
              <w:rPr>
                <w:rFonts w:hint="eastAsia"/>
                <w:sz w:val="24"/>
                <w:szCs w:val="24"/>
              </w:rPr>
              <w:t>公司的质量、环境和职业健康安全的方针：</w:t>
            </w:r>
          </w:p>
          <w:p>
            <w:pPr>
              <w:spacing w:line="440" w:lineRule="exact"/>
              <w:rPr>
                <w:sz w:val="24"/>
                <w:szCs w:val="24"/>
              </w:rPr>
            </w:pPr>
            <w:r>
              <w:rPr>
                <w:rFonts w:hint="eastAsia"/>
                <w:sz w:val="24"/>
                <w:szCs w:val="24"/>
              </w:rPr>
              <w:t>管理方针是：</w:t>
            </w:r>
          </w:p>
          <w:p>
            <w:pPr>
              <w:rPr>
                <w:rFonts w:hint="eastAsia"/>
              </w:rPr>
            </w:pPr>
            <w:r>
              <w:rPr>
                <w:rFonts w:hint="eastAsia"/>
              </w:rPr>
              <w:t>守法诚信追求质量，预防污染保护环境；</w:t>
            </w:r>
          </w:p>
          <w:p>
            <w:pPr>
              <w:rPr>
                <w:rFonts w:hint="eastAsia"/>
              </w:rPr>
            </w:pPr>
            <w:r>
              <w:rPr>
                <w:rFonts w:hint="eastAsia"/>
              </w:rPr>
              <w:t xml:space="preserve">      关爱员工健康安全，持续改进追求卓越</w:t>
            </w:r>
          </w:p>
          <w:p>
            <w:pPr>
              <w:pStyle w:val="6"/>
              <w:pBdr>
                <w:bottom w:val="none" w:color="auto" w:sz="0" w:space="0"/>
              </w:pBdr>
              <w:tabs>
                <w:tab w:val="center" w:pos="5737"/>
                <w:tab w:val="clear" w:pos="4153"/>
              </w:tabs>
              <w:jc w:val="left"/>
              <w:rPr>
                <w:sz w:val="24"/>
                <w:szCs w:val="24"/>
              </w:rPr>
            </w:pPr>
          </w:p>
          <w:p>
            <w:pPr>
              <w:pStyle w:val="6"/>
              <w:pBdr>
                <w:bottom w:val="none" w:color="auto" w:sz="0" w:space="0"/>
              </w:pBdr>
              <w:tabs>
                <w:tab w:val="center" w:pos="5737"/>
                <w:tab w:val="clear" w:pos="4153"/>
              </w:tabs>
              <w:jc w:val="left"/>
              <w:rPr>
                <w:sz w:val="24"/>
                <w:szCs w:val="24"/>
              </w:rPr>
            </w:pPr>
            <w:r>
              <w:rPr>
                <w:rFonts w:hint="eastAsia"/>
                <w:sz w:val="24"/>
                <w:szCs w:val="24"/>
              </w:rPr>
              <w:t>制定了本公司的环境和职业健康安全的目标为：</w:t>
            </w:r>
          </w:p>
          <w:p>
            <w:pPr>
              <w:spacing w:line="280" w:lineRule="exact"/>
              <w:rPr>
                <w:rFonts w:hint="eastAsia"/>
              </w:rPr>
            </w:pPr>
            <w:r>
              <w:rPr>
                <w:rFonts w:hint="eastAsia"/>
              </w:rPr>
              <w:t>环境目标：</w:t>
            </w:r>
          </w:p>
          <w:p>
            <w:pPr>
              <w:spacing w:line="280" w:lineRule="exact"/>
              <w:rPr>
                <w:rFonts w:hint="eastAsia"/>
              </w:rPr>
            </w:pPr>
            <w:r>
              <w:rPr>
                <w:rFonts w:hint="eastAsia"/>
              </w:rPr>
              <w:t>1）固体废弃物100%分类，合理处理；</w:t>
            </w:r>
          </w:p>
          <w:p>
            <w:pPr>
              <w:spacing w:line="280" w:lineRule="exact"/>
              <w:rPr>
                <w:rFonts w:hint="eastAsia"/>
              </w:rPr>
            </w:pPr>
            <w:r>
              <w:rPr>
                <w:rFonts w:hint="eastAsia"/>
              </w:rPr>
              <w:t>2）环境污染事故发生率为零</w:t>
            </w:r>
          </w:p>
          <w:p>
            <w:pPr>
              <w:spacing w:line="280" w:lineRule="exact"/>
              <w:rPr>
                <w:rFonts w:hint="eastAsia"/>
              </w:rPr>
            </w:pPr>
            <w:r>
              <w:rPr>
                <w:rFonts w:hint="eastAsia"/>
              </w:rPr>
              <w:t>职业健康安全目标和指标：</w:t>
            </w:r>
          </w:p>
          <w:p>
            <w:pPr>
              <w:spacing w:line="280" w:lineRule="exact"/>
              <w:rPr>
                <w:rFonts w:hint="eastAsia"/>
              </w:rPr>
            </w:pPr>
            <w:r>
              <w:rPr>
                <w:rFonts w:hint="eastAsia"/>
              </w:rPr>
              <w:t xml:space="preserve">1）各类重伤以上事故发生率为零； </w:t>
            </w:r>
          </w:p>
          <w:p>
            <w:pPr>
              <w:spacing w:line="280" w:lineRule="exact"/>
            </w:pPr>
            <w:r>
              <w:rPr>
                <w:rFonts w:hint="eastAsia"/>
              </w:rPr>
              <w:t>2）火灾事故发生率为零。</w:t>
            </w:r>
          </w:p>
          <w:p>
            <w:pPr>
              <w:pStyle w:val="2"/>
              <w:rPr>
                <w:spacing w:val="0"/>
                <w:sz w:val="24"/>
                <w:szCs w:val="22"/>
              </w:rPr>
            </w:pPr>
          </w:p>
          <w:p>
            <w:pPr>
              <w:pStyle w:val="2"/>
              <w:rPr>
                <w:spacing w:val="0"/>
                <w:sz w:val="24"/>
                <w:szCs w:val="22"/>
              </w:rPr>
            </w:pPr>
          </w:p>
          <w:p>
            <w:pPr>
              <w:pStyle w:val="6"/>
              <w:pBdr>
                <w:bottom w:val="none" w:color="auto" w:sz="0" w:space="0"/>
              </w:pBdr>
              <w:tabs>
                <w:tab w:val="center" w:pos="5737"/>
                <w:tab w:val="clear" w:pos="4153"/>
              </w:tabs>
              <w:jc w:val="left"/>
              <w:rPr>
                <w:sz w:val="24"/>
                <w:szCs w:val="24"/>
              </w:rPr>
            </w:pPr>
            <w:r>
              <w:rPr>
                <w:rFonts w:hint="eastAsia"/>
                <w:sz w:val="24"/>
                <w:szCs w:val="24"/>
              </w:rPr>
              <w:t>提供了本公司的环境和安全管理方案和控制措施，有编制人、审批人签字，二阶段进行进一步关注</w:t>
            </w:r>
          </w:p>
          <w:p/>
          <w:p>
            <w:pPr>
              <w:pStyle w:val="6"/>
              <w:pBdr>
                <w:bottom w:val="none" w:color="auto" w:sz="0" w:space="0"/>
              </w:pBdr>
              <w:tabs>
                <w:tab w:val="center" w:pos="5737"/>
                <w:tab w:val="clear" w:pos="4153"/>
              </w:tabs>
              <w:jc w:val="left"/>
              <w:rPr>
                <w:sz w:val="24"/>
                <w:szCs w:val="24"/>
              </w:rPr>
            </w:pPr>
          </w:p>
          <w:p>
            <w:pPr>
              <w:pStyle w:val="6"/>
              <w:pBdr>
                <w:bottom w:val="none" w:color="auto" w:sz="0" w:space="0"/>
              </w:pBdr>
              <w:tabs>
                <w:tab w:val="center" w:pos="5737"/>
                <w:tab w:val="clear" w:pos="4153"/>
              </w:tabs>
              <w:jc w:val="left"/>
              <w:rPr>
                <w:sz w:val="24"/>
                <w:szCs w:val="24"/>
              </w:rPr>
            </w:pPr>
            <w:r>
              <w:rPr>
                <w:rFonts w:hint="eastAsia" w:ascii="DFKai-SB" w:hAnsi="DFKai-SB"/>
                <w:sz w:val="24"/>
              </w:rPr>
              <w:t>20</w:t>
            </w:r>
            <w:r>
              <w:rPr>
                <w:rFonts w:hint="eastAsia" w:ascii="DFKai-SB" w:hAnsi="DFKai-SB"/>
                <w:sz w:val="24"/>
                <w:lang w:val="en-US" w:eastAsia="zh-CN"/>
              </w:rPr>
              <w:t>20</w:t>
            </w:r>
            <w:r>
              <w:rPr>
                <w:rFonts w:hint="eastAsia" w:ascii="DFKai-SB" w:hAnsi="DFKai-SB"/>
                <w:sz w:val="24"/>
              </w:rPr>
              <w:t>年</w:t>
            </w:r>
            <w:r>
              <w:rPr>
                <w:rFonts w:hint="eastAsia" w:ascii="DFKai-SB" w:hAnsi="DFKai-SB"/>
                <w:sz w:val="24"/>
                <w:lang w:val="en-US" w:eastAsia="zh-CN"/>
              </w:rPr>
              <w:t>7</w:t>
            </w:r>
            <w:r>
              <w:rPr>
                <w:rFonts w:hint="eastAsia" w:ascii="DFKai-SB" w:hAnsi="DFKai-SB"/>
                <w:sz w:val="24"/>
              </w:rPr>
              <w:t>月</w:t>
            </w:r>
            <w:r>
              <w:rPr>
                <w:rFonts w:hint="eastAsia" w:ascii="DFKai-SB" w:hAnsi="DFKai-SB"/>
                <w:sz w:val="24"/>
                <w:lang w:val="en-US" w:eastAsia="zh-CN"/>
              </w:rPr>
              <w:t>10</w:t>
            </w:r>
            <w:r>
              <w:rPr>
                <w:rFonts w:hint="eastAsia" w:ascii="DFKai-SB" w:hAnsi="DFKai-SB"/>
                <w:sz w:val="24"/>
              </w:rPr>
              <w:t>日</w:t>
            </w:r>
            <w:r>
              <w:rPr>
                <w:rFonts w:hint="eastAsia"/>
                <w:sz w:val="24"/>
                <w:szCs w:val="24"/>
              </w:rPr>
              <w:t>对适用的法律法规符合性进行了评价，提供了20</w:t>
            </w:r>
            <w:r>
              <w:rPr>
                <w:rFonts w:hint="eastAsia"/>
                <w:sz w:val="24"/>
                <w:szCs w:val="24"/>
                <w:lang w:val="en-US" w:eastAsia="zh-CN"/>
              </w:rPr>
              <w:t>20</w:t>
            </w:r>
            <w:r>
              <w:rPr>
                <w:rFonts w:hint="eastAsia"/>
                <w:sz w:val="24"/>
                <w:szCs w:val="24"/>
              </w:rPr>
              <w:t>年合规性评价记录。</w:t>
            </w:r>
          </w:p>
          <w:p>
            <w:pPr>
              <w:pStyle w:val="6"/>
              <w:pBdr>
                <w:bottom w:val="none" w:color="auto" w:sz="0" w:space="0"/>
              </w:pBdr>
              <w:tabs>
                <w:tab w:val="center" w:pos="5737"/>
                <w:tab w:val="clear" w:pos="4153"/>
              </w:tabs>
              <w:jc w:val="left"/>
              <w:rPr>
                <w:sz w:val="24"/>
                <w:szCs w:val="24"/>
              </w:rPr>
            </w:pPr>
            <w:r>
              <w:rPr>
                <w:rFonts w:hint="eastAsia"/>
                <w:sz w:val="24"/>
                <w:szCs w:val="24"/>
              </w:rPr>
              <w:t>无需环境、职业健康安全相关监测报告（EMS、OHS）。</w:t>
            </w:r>
          </w:p>
          <w:p>
            <w:pPr>
              <w:pStyle w:val="6"/>
              <w:pBdr>
                <w:bottom w:val="none" w:color="auto" w:sz="0" w:space="0"/>
              </w:pBdr>
              <w:tabs>
                <w:tab w:val="center" w:pos="5737"/>
                <w:tab w:val="clear" w:pos="4153"/>
              </w:tabs>
              <w:jc w:val="left"/>
              <w:rPr>
                <w:sz w:val="24"/>
                <w:szCs w:val="24"/>
              </w:rPr>
            </w:pPr>
          </w:p>
          <w:p>
            <w:pPr>
              <w:pStyle w:val="6"/>
              <w:pBdr>
                <w:bottom w:val="none" w:color="auto" w:sz="0" w:space="0"/>
              </w:pBdr>
              <w:tabs>
                <w:tab w:val="center" w:pos="5737"/>
                <w:tab w:val="clear" w:pos="4153"/>
              </w:tabs>
              <w:jc w:val="left"/>
              <w:rPr>
                <w:sz w:val="24"/>
                <w:szCs w:val="24"/>
              </w:rPr>
            </w:pPr>
          </w:p>
          <w:p>
            <w:pPr>
              <w:pStyle w:val="6"/>
              <w:pBdr>
                <w:bottom w:val="none" w:color="auto" w:sz="0" w:space="0"/>
              </w:pBdr>
              <w:tabs>
                <w:tab w:val="center" w:pos="5737"/>
                <w:tab w:val="clear" w:pos="4153"/>
              </w:tabs>
              <w:jc w:val="left"/>
              <w:rPr>
                <w:sz w:val="24"/>
                <w:szCs w:val="24"/>
              </w:rPr>
            </w:pPr>
            <w:r>
              <w:rPr>
                <w:rFonts w:hint="eastAsia"/>
                <w:sz w:val="24"/>
                <w:szCs w:val="24"/>
              </w:rPr>
              <w:t>提供了“重要环境因素清单”</w:t>
            </w:r>
          </w:p>
          <w:p>
            <w:r>
              <w:rPr>
                <w:rFonts w:hint="eastAsia"/>
              </w:rPr>
              <w:t>1.固体废弃物</w:t>
            </w:r>
          </w:p>
          <w:p>
            <w:r>
              <w:rPr>
                <w:rFonts w:hint="eastAsia"/>
              </w:rPr>
              <w:t>2.火灾</w:t>
            </w:r>
          </w:p>
          <w:p>
            <w:r>
              <w:rPr>
                <w:rFonts w:hint="eastAsia"/>
              </w:rPr>
              <w:t>提供了“不可接受风险清单”</w:t>
            </w:r>
          </w:p>
          <w:p>
            <w:pPr>
              <w:numPr>
                <w:ilvl w:val="0"/>
                <w:numId w:val="1"/>
              </w:numPr>
            </w:pPr>
            <w:r>
              <w:rPr>
                <w:rFonts w:hint="eastAsia"/>
              </w:rPr>
              <w:t>潜在火灾</w:t>
            </w:r>
          </w:p>
          <w:p>
            <w:pPr>
              <w:pStyle w:val="2"/>
              <w:numPr>
                <w:ilvl w:val="0"/>
                <w:numId w:val="1"/>
              </w:numPr>
            </w:pPr>
            <w:r>
              <w:rPr>
                <w:rFonts w:hint="eastAsia"/>
              </w:rPr>
              <w:t>触电</w:t>
            </w:r>
          </w:p>
          <w:p>
            <w:pPr>
              <w:rPr>
                <w:szCs w:val="21"/>
              </w:rPr>
            </w:pPr>
            <w:r>
              <w:rPr>
                <w:rFonts w:hint="eastAsia"/>
                <w:szCs w:val="21"/>
              </w:rPr>
              <w:t>3、意外伤害</w:t>
            </w:r>
          </w:p>
          <w:p>
            <w:pPr>
              <w:rPr>
                <w:szCs w:val="21"/>
              </w:rPr>
            </w:pPr>
          </w:p>
          <w:p>
            <w:pPr>
              <w:rPr>
                <w:szCs w:val="21"/>
              </w:rPr>
            </w:pPr>
          </w:p>
          <w:p>
            <w:pPr>
              <w:rPr>
                <w:szCs w:val="21"/>
              </w:rPr>
            </w:pPr>
            <w:r>
              <w:rPr>
                <w:rFonts w:hint="eastAsia"/>
                <w:szCs w:val="21"/>
              </w:rPr>
              <w:t>公司于审核时间：</w:t>
            </w:r>
            <w:r>
              <w:rPr>
                <w:rFonts w:hint="eastAsia"/>
              </w:rPr>
              <w:t>2020年12月10日</w:t>
            </w:r>
            <w:r>
              <w:rPr>
                <w:rFonts w:hint="eastAsia"/>
                <w:szCs w:val="21"/>
              </w:rPr>
              <w:t>进行一次内审</w:t>
            </w:r>
            <w:r>
              <w:rPr>
                <w:rFonts w:hint="eastAsia" w:ascii="Times New Roman" w:hAnsi="Times New Roman" w:cs="Times New Roman"/>
                <w:szCs w:val="21"/>
              </w:rPr>
              <w:t>，组长：马方曙  组员：王</w:t>
            </w:r>
            <w:r>
              <w:rPr>
                <w:rFonts w:hint="eastAsia"/>
              </w:rPr>
              <w:t>华</w:t>
            </w:r>
            <w:r>
              <w:rPr>
                <w:rFonts w:hint="eastAsia"/>
                <w:szCs w:val="21"/>
              </w:rPr>
              <w:t>，提供了内审计划、内审记录、不符合报告、内审报告等，发现了1项不符合项，具体内容，二阶段进一步审核。</w:t>
            </w:r>
          </w:p>
          <w:p>
            <w:pPr>
              <w:rPr>
                <w:szCs w:val="21"/>
              </w:rPr>
            </w:pPr>
            <w:r>
              <w:rPr>
                <w:rFonts w:hint="eastAsia"/>
                <w:szCs w:val="21"/>
              </w:rPr>
              <w:t>2019年10月23日召开了管理评审会议，由总经理主持。提供管理评审报告，具体内容，二阶段进一步审核。</w:t>
            </w:r>
          </w:p>
          <w:p>
            <w:pPr>
              <w:rPr>
                <w:szCs w:val="21"/>
              </w:rPr>
            </w:pPr>
          </w:p>
          <w:p>
            <w:pPr>
              <w:rPr>
                <w:szCs w:val="21"/>
              </w:rPr>
            </w:pPr>
            <w:r>
              <w:rPr>
                <w:rFonts w:hint="eastAsia"/>
                <w:szCs w:val="21"/>
              </w:rPr>
              <w:t>无特种设备</w:t>
            </w:r>
          </w:p>
          <w:p>
            <w:pPr>
              <w:rPr>
                <w:szCs w:val="21"/>
              </w:rPr>
            </w:pPr>
          </w:p>
          <w:p>
            <w:pPr>
              <w:rPr>
                <w:szCs w:val="21"/>
              </w:rPr>
            </w:pPr>
            <w:r>
              <w:rPr>
                <w:rFonts w:hint="eastAsia"/>
                <w:szCs w:val="21"/>
              </w:rPr>
              <w:t>有环保设施、垃圾桶等</w:t>
            </w:r>
          </w:p>
          <w:p>
            <w:pPr>
              <w:pStyle w:val="2"/>
              <w:rPr>
                <w:bCs w:val="0"/>
                <w:spacing w:val="0"/>
                <w:szCs w:val="21"/>
              </w:rPr>
            </w:pP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经</w:t>
            </w:r>
            <w:r>
              <w:rPr>
                <w:rFonts w:hint="eastAsia"/>
                <w:color w:val="000000" w:themeColor="text1"/>
                <w:szCs w:val="21"/>
                <w:lang w:val="en-US" w:eastAsia="zh-CN"/>
                <w14:textFill>
                  <w14:solidFill>
                    <w14:schemeClr w14:val="tx1"/>
                  </w14:solidFill>
                </w14:textFill>
              </w:rPr>
              <w:t>观察</w:t>
            </w:r>
            <w:r>
              <w:rPr>
                <w:rFonts w:hint="eastAsia"/>
                <w:color w:val="000000" w:themeColor="text1"/>
                <w:szCs w:val="21"/>
                <w14:textFill>
                  <w14:solidFill>
                    <w14:schemeClr w14:val="tx1"/>
                  </w14:solidFill>
                </w14:textFill>
              </w:rPr>
              <w:t>，</w:t>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现场巡视：办公面积</w:t>
            </w:r>
            <w:r>
              <w:rPr>
                <w:rFonts w:hint="eastAsia"/>
                <w:color w:val="000000" w:themeColor="text1"/>
                <w:lang w:val="en-US" w:eastAsia="zh-CN"/>
                <w14:textFill>
                  <w14:solidFill>
                    <w14:schemeClr w14:val="tx1"/>
                  </w14:solidFill>
                </w14:textFill>
              </w:rPr>
              <w:t>60</w:t>
            </w:r>
            <w:r>
              <w:rPr>
                <w:rFonts w:hint="eastAsia"/>
                <w:color w:val="000000" w:themeColor="text1"/>
                <w14:textFill>
                  <w14:solidFill>
                    <w14:schemeClr w14:val="tx1"/>
                  </w14:solidFill>
                </w14:textFill>
              </w:rPr>
              <w:t>平方，有独立的会议室、财务室，该公司人员和办公人员为敞开式办公，地面干净整洁、墙上悬挂着公司的各种证件及荣誉证书，办公场所配置有垃圾桶、灭火器等环保及消防设施。公司无库房。</w:t>
            </w:r>
          </w:p>
          <w:p>
            <w:pPr>
              <w:pStyle w:val="2"/>
              <w:rPr>
                <w:bCs w:val="0"/>
                <w:color w:val="000000" w:themeColor="text1"/>
                <w:spacing w:val="0"/>
                <w:szCs w:val="21"/>
                <w14:textFill>
                  <w14:solidFill>
                    <w14:schemeClr w14:val="tx1"/>
                  </w14:solidFill>
                </w14:textFill>
              </w:rPr>
            </w:pPr>
            <w:r>
              <w:rPr>
                <w:rFonts w:hint="eastAsia"/>
                <w:bCs w:val="0"/>
                <w:color w:val="000000" w:themeColor="text1"/>
                <w:spacing w:val="0"/>
                <w:szCs w:val="21"/>
                <w14:textFill>
                  <w14:solidFill>
                    <w14:schemeClr w14:val="tx1"/>
                  </w14:solidFill>
                </w14:textFill>
              </w:rPr>
              <w:t>结论：具备二阶段审核的条件</w:t>
            </w:r>
          </w:p>
          <w:p>
            <w:pPr>
              <w:pStyle w:val="6"/>
              <w:jc w:val="both"/>
              <w:rPr>
                <w:color w:val="FF0000"/>
              </w:rPr>
            </w:pPr>
          </w:p>
          <w:p>
            <w:pPr>
              <w:pStyle w:val="6"/>
            </w:pPr>
          </w:p>
          <w:p>
            <w:pPr>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18</w:t>
            </w:r>
            <w:r>
              <w:rPr>
                <w:rFonts w:hint="eastAsia" w:ascii="宋体" w:hAnsi="宋体" w:cs="宋体"/>
                <w:szCs w:val="21"/>
              </w:rPr>
              <w:t>日进行《火灾事故应急预案》的演练，二阶段详细审核</w:t>
            </w:r>
          </w:p>
          <w:p>
            <w:pPr>
              <w:pStyle w:val="2"/>
            </w:pPr>
          </w:p>
          <w:p>
            <w:pPr>
              <w:pStyle w:val="2"/>
            </w:pPr>
          </w:p>
          <w:p>
            <w:pPr>
              <w:pStyle w:val="2"/>
              <w:rPr>
                <w:rFonts w:hint="eastAsia" w:ascii="宋体" w:hAnsi="宋体" w:cs="宋体"/>
                <w:szCs w:val="21"/>
              </w:rPr>
            </w:pPr>
            <w:r>
              <w:rPr>
                <w:rFonts w:hint="eastAsia" w:ascii="宋体" w:hAnsi="宋体" w:cs="宋体"/>
                <w:szCs w:val="21"/>
              </w:rPr>
              <w:t>在策划管理体系时考虑了风险和机遇以及相应的应对措施，制定了《风险和机遇的应对控制程序》，明确风险和机遇事件的识别方法/途径、风险和机遇事件的评估方式、制定主要风险和机遇事件的应对措施的要求、评价这些措施有效性的方法。</w:t>
            </w:r>
          </w:p>
          <w:p>
            <w:pPr>
              <w:pStyle w:val="2"/>
              <w:rPr>
                <w:rFonts w:hint="eastAsia" w:ascii="宋体" w:hAnsi="宋体" w:cs="宋体"/>
                <w:szCs w:val="21"/>
              </w:rPr>
            </w:pPr>
          </w:p>
          <w:p>
            <w:pPr>
              <w:pStyle w:val="6"/>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tabs>
                <w:tab w:val="left" w:pos="7380"/>
              </w:tabs>
              <w:rPr>
                <w:rFonts w:ascii="宋体" w:hAnsi="宋体" w:cs="Tahoma"/>
                <w:szCs w:val="21"/>
              </w:rPr>
            </w:pPr>
            <w:r>
              <w:rPr>
                <w:rFonts w:hint="eastAsia" w:ascii="宋体" w:hAnsi="宋体" w:cs="Tahoma"/>
                <w:szCs w:val="21"/>
              </w:rPr>
              <w:t>是否具备二阶段审核结论</w:t>
            </w:r>
          </w:p>
          <w:p>
            <w:pPr>
              <w:tabs>
                <w:tab w:val="left" w:pos="7380"/>
              </w:tabs>
              <w:rPr>
                <w:rFonts w:ascii="宋体" w:hAnsi="宋体" w:cs="Tahoma"/>
                <w:szCs w:val="21"/>
              </w:rPr>
            </w:pPr>
          </w:p>
          <w:p>
            <w:pPr>
              <w:rPr>
                <w:rFonts w:hint="eastAsia" w:ascii="Times New Roman" w:hAnsi="Times New Roman" w:eastAsia="宋体" w:cs="Times New Roman"/>
                <w:kern w:val="2"/>
                <w:sz w:val="21"/>
                <w:szCs w:val="21"/>
                <w:lang w:val="en-US" w:eastAsia="zh-CN" w:bidi="ar-SA"/>
              </w:rPr>
            </w:pPr>
            <w:r>
              <w:rPr>
                <w:rFonts w:hint="eastAsia" w:ascii="宋体" w:hAnsi="宋体" w:cs="Tahoma"/>
                <w:szCs w:val="21"/>
              </w:rPr>
              <w:t>第二阶段重要审核点等相关内容</w:t>
            </w:r>
          </w:p>
        </w:tc>
        <w:tc>
          <w:tcPr>
            <w:tcW w:w="960" w:type="dxa"/>
            <w:vAlign w:val="top"/>
          </w:tcPr>
          <w:p>
            <w:pPr>
              <w:rPr>
                <w:rFonts w:hint="eastAsia" w:ascii="Times New Roman" w:hAnsi="Times New Roman" w:eastAsia="宋体" w:cs="Times New Roman"/>
                <w:kern w:val="2"/>
                <w:sz w:val="21"/>
                <w:szCs w:val="21"/>
                <w:lang w:val="en-US" w:eastAsia="zh-CN" w:bidi="ar-SA"/>
              </w:rPr>
            </w:pPr>
          </w:p>
        </w:tc>
        <w:tc>
          <w:tcPr>
            <w:tcW w:w="10004" w:type="dxa"/>
            <w:vAlign w:val="top"/>
          </w:tcPr>
          <w:p>
            <w:pPr>
              <w:tabs>
                <w:tab w:val="left" w:pos="7380"/>
              </w:tabs>
              <w:rPr>
                <w:rFonts w:ascii="宋体" w:hAnsi="宋体" w:cs="Tahoma"/>
                <w:szCs w:val="21"/>
              </w:rPr>
            </w:pPr>
            <w:r>
              <w:rPr>
                <w:rFonts w:hint="eastAsia" w:ascii="宋体" w:hAnsi="宋体" w:cs="Tahoma"/>
                <w:szCs w:val="21"/>
              </w:rPr>
              <w:t>通过一阶段对受审核方的管理、服务及</w:t>
            </w:r>
            <w:r>
              <w:rPr>
                <w:rFonts w:hint="eastAsia" w:ascii="宋体" w:hAnsi="宋体" w:cs="Tahoma"/>
                <w:szCs w:val="21"/>
                <w:lang w:val="en-US" w:eastAsia="zh-CN"/>
              </w:rPr>
              <w:t>现场</w:t>
            </w:r>
            <w:r>
              <w:rPr>
                <w:rFonts w:hint="eastAsia" w:ascii="宋体" w:hAnsi="宋体" w:cs="Tahoma"/>
                <w:szCs w:val="21"/>
              </w:rPr>
              <w:t>巡视和观察，对管理体系绩效要求有重大影响的过程、活动、场所和</w:t>
            </w:r>
            <w:r>
              <w:rPr>
                <w:rFonts w:hint="eastAsia" w:ascii="宋体" w:hAnsi="宋体" w:cs="Tahoma"/>
                <w:szCs w:val="21"/>
                <w:lang w:val="en-US" w:eastAsia="zh-CN"/>
              </w:rPr>
              <w:t>现场</w:t>
            </w:r>
            <w:r>
              <w:rPr>
                <w:rFonts w:hint="eastAsia" w:ascii="宋体" w:hAnsi="宋体" w:cs="Tahoma"/>
                <w:szCs w:val="21"/>
              </w:rPr>
              <w:t>现场运行进行观察、巡视及总体性评价，组织具备二阶段审核条件，可进行二阶段审核。</w:t>
            </w:r>
          </w:p>
          <w:p>
            <w:pPr>
              <w:tabs>
                <w:tab w:val="left" w:pos="7380"/>
              </w:tabs>
              <w:rPr>
                <w:rFonts w:ascii="宋体" w:hAnsi="宋体" w:cs="Tahoma"/>
                <w:szCs w:val="21"/>
              </w:rPr>
            </w:pPr>
          </w:p>
          <w:p>
            <w:pPr>
              <w:tabs>
                <w:tab w:val="left" w:pos="7380"/>
              </w:tabs>
              <w:rPr>
                <w:rFonts w:ascii="宋体" w:hAnsi="宋体" w:cs="Tahoma"/>
                <w:szCs w:val="21"/>
              </w:rPr>
            </w:pPr>
            <w:r>
              <w:rPr>
                <w:rFonts w:hint="eastAsia" w:ascii="宋体" w:hAnsi="宋体" w:cs="Tahoma"/>
                <w:szCs w:val="21"/>
              </w:rPr>
              <w:t>二阶段重点审核：</w:t>
            </w:r>
          </w:p>
          <w:p>
            <w:pPr>
              <w:rPr>
                <w:rFonts w:hint="eastAsia"/>
                <w:color w:val="000000"/>
                <w:szCs w:val="21"/>
              </w:rPr>
            </w:pPr>
            <w:r>
              <w:rPr>
                <w:rFonts w:hint="eastAsia" w:ascii="宋体" w:hAnsi="宋体"/>
                <w:szCs w:val="21"/>
              </w:rPr>
              <w:t>E：离子交换净化设备、电渗析净化设备、水处理设备的设计开发及咨询服务所涉及场所的相关环境管理活动</w:t>
            </w:r>
          </w:p>
          <w:p>
            <w:pPr>
              <w:tabs>
                <w:tab w:val="left" w:pos="7380"/>
              </w:tabs>
              <w:rPr>
                <w:rFonts w:hint="eastAsia" w:ascii="宋体" w:hAnsi="宋体"/>
                <w:szCs w:val="21"/>
              </w:rPr>
            </w:pPr>
            <w:r>
              <w:rPr>
                <w:rFonts w:hint="eastAsia" w:ascii="宋体" w:hAnsi="宋体"/>
                <w:szCs w:val="21"/>
              </w:rPr>
              <w:t xml:space="preserve">O：离子交换净化设备、电渗析净化设备、水处理设备的设计开发及咨询服务所涉及场所的相关职业健康安全管理活动 </w:t>
            </w:r>
          </w:p>
          <w:p>
            <w:pPr>
              <w:tabs>
                <w:tab w:val="left" w:pos="7380"/>
              </w:tabs>
              <w:rPr>
                <w:rFonts w:hint="default" w:ascii="宋体" w:hAnsi="宋体" w:eastAsia="宋体" w:cs="Tahoma"/>
                <w:szCs w:val="21"/>
                <w:lang w:val="en-US" w:eastAsia="zh-CN"/>
              </w:rPr>
            </w:pPr>
            <w:r>
              <w:rPr>
                <w:rFonts w:hint="eastAsia" w:ascii="宋体" w:hAnsi="宋体" w:cs="Tahoma"/>
                <w:szCs w:val="21"/>
              </w:rPr>
              <w:t>重点审核部门：</w:t>
            </w:r>
            <w:r>
              <w:rPr>
                <w:rFonts w:hint="eastAsia" w:ascii="宋体" w:hAnsi="宋体" w:cs="Tahoma"/>
                <w:szCs w:val="21"/>
                <w:lang w:val="en-US" w:eastAsia="zh-CN"/>
              </w:rPr>
              <w:t>综合</w:t>
            </w:r>
            <w:r>
              <w:rPr>
                <w:rFonts w:hint="eastAsia" w:ascii="宋体" w:hAnsi="宋体" w:cs="Tahoma"/>
                <w:szCs w:val="21"/>
                <w:lang w:eastAsia="zh-CN"/>
              </w:rPr>
              <w:t>部</w:t>
            </w:r>
            <w:r>
              <w:rPr>
                <w:rFonts w:hint="eastAsia" w:ascii="宋体" w:hAnsi="宋体" w:cs="Tahoma"/>
                <w:szCs w:val="21"/>
              </w:rPr>
              <w:t>、</w:t>
            </w:r>
            <w:r>
              <w:rPr>
                <w:rFonts w:hint="eastAsia"/>
                <w:lang w:val="en-US" w:eastAsia="zh-CN"/>
              </w:rPr>
              <w:t>技术部</w:t>
            </w:r>
          </w:p>
          <w:p>
            <w:pPr>
              <w:tabs>
                <w:tab w:val="left" w:pos="7380"/>
              </w:tabs>
              <w:rPr>
                <w:rFonts w:ascii="宋体" w:hAnsi="宋体" w:cs="Tahoma"/>
                <w:szCs w:val="21"/>
              </w:rPr>
            </w:pPr>
            <w:r>
              <w:rPr>
                <w:rFonts w:hint="eastAsia" w:ascii="宋体" w:hAnsi="宋体" w:cs="Tahoma"/>
                <w:szCs w:val="21"/>
              </w:rPr>
              <w:t>重点审核过程：环境因素识别、风险识别评价、运行过程、监视和测量、不符合控制、合规性评价等。</w:t>
            </w:r>
          </w:p>
          <w:p>
            <w:pPr>
              <w:tabs>
                <w:tab w:val="left" w:pos="7380"/>
              </w:tabs>
              <w:rPr>
                <w:rFonts w:ascii="宋体" w:hAnsi="宋体" w:cs="Tahoma"/>
                <w:szCs w:val="21"/>
              </w:rPr>
            </w:pPr>
            <w:r>
              <w:rPr>
                <w:rFonts w:hint="eastAsia" w:ascii="宋体" w:hAnsi="宋体" w:cs="Tahoma"/>
                <w:szCs w:val="21"/>
              </w:rPr>
              <w:t>重点审核场所：</w:t>
            </w:r>
            <w:r>
              <w:rPr>
                <w:rFonts w:hint="eastAsia" w:ascii="宋体" w:hAnsi="宋体"/>
                <w:szCs w:val="21"/>
                <w:lang w:val="en-US" w:eastAsia="zh-CN"/>
              </w:rPr>
              <w:t>设计开发</w:t>
            </w:r>
            <w:r>
              <w:rPr>
                <w:rFonts w:hint="eastAsia" w:ascii="宋体" w:hAnsi="宋体" w:cs="Tahoma"/>
                <w:szCs w:val="21"/>
              </w:rPr>
              <w:t>场所、办公场所。</w:t>
            </w:r>
          </w:p>
          <w:p>
            <w:pPr>
              <w:ind w:firstLine="420" w:firstLineChars="200"/>
              <w:rPr>
                <w:rFonts w:hint="eastAsia" w:ascii="宋体" w:hAnsi="宋体" w:eastAsia="宋体" w:cs="宋体"/>
                <w:kern w:val="2"/>
                <w:sz w:val="21"/>
                <w:szCs w:val="21"/>
                <w:lang w:val="en-US" w:eastAsia="zh-CN" w:bidi="ar-SA"/>
              </w:rPr>
            </w:pPr>
            <w:r>
              <w:rPr>
                <w:rFonts w:hint="eastAsia" w:ascii="宋体" w:hAnsi="宋体" w:cs="Tahoma"/>
                <w:szCs w:val="21"/>
              </w:rPr>
              <w:t>审核时间</w:t>
            </w:r>
            <w:r>
              <w:rPr>
                <w:rFonts w:hint="eastAsia" w:ascii="宋体" w:hAnsi="宋体" w:eastAsia="宋体" w:cs="Tahoma"/>
                <w:szCs w:val="21"/>
              </w:rPr>
              <w:t>：2021年03月05日 下午至2021年03月06日 下午</w:t>
            </w:r>
          </w:p>
        </w:tc>
        <w:tc>
          <w:tcPr>
            <w:tcW w:w="1585" w:type="dxa"/>
          </w:tcPr>
          <w:p/>
        </w:tc>
      </w:tr>
    </w:tbl>
    <w:p>
      <w:r>
        <w:ptab w:relativeTo="margin" w:alignment="center" w:leader="none"/>
      </w:r>
    </w:p>
    <w:p/>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0000000000000000000"/>
    <w:charset w:val="86"/>
    <w:family w:val="auto"/>
    <w:pitch w:val="default"/>
    <w:sig w:usb0="00000000" w:usb1="00000000" w:usb2="00000010" w:usb3="00000000" w:csb0="0004009F" w:csb1="0000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1"/>
      </w:pBdr>
      <w:spacing w:line="320" w:lineRule="exact"/>
      <w:jc w:val="left"/>
    </w:pPr>
    <w:r>
      <w:pict>
        <v:shape id="文本框 1" o:spid="_x0000_s2050"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ISC-B-I-08 管理体系审核记录表(03版)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235A9"/>
    <w:multiLevelType w:val="singleLevel"/>
    <w:tmpl w:val="335235A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2C06"/>
    <w:rsid w:val="0003373A"/>
    <w:rsid w:val="000D0693"/>
    <w:rsid w:val="000F2440"/>
    <w:rsid w:val="00146CD2"/>
    <w:rsid w:val="001758D0"/>
    <w:rsid w:val="001A2D7F"/>
    <w:rsid w:val="0021043B"/>
    <w:rsid w:val="002227F2"/>
    <w:rsid w:val="00252226"/>
    <w:rsid w:val="00301015"/>
    <w:rsid w:val="00337922"/>
    <w:rsid w:val="00340867"/>
    <w:rsid w:val="00380837"/>
    <w:rsid w:val="00383B64"/>
    <w:rsid w:val="00403E25"/>
    <w:rsid w:val="00410914"/>
    <w:rsid w:val="004F2E07"/>
    <w:rsid w:val="0052676A"/>
    <w:rsid w:val="00536930"/>
    <w:rsid w:val="00564E53"/>
    <w:rsid w:val="005849FB"/>
    <w:rsid w:val="005874A6"/>
    <w:rsid w:val="005C6F40"/>
    <w:rsid w:val="005E0897"/>
    <w:rsid w:val="005F3166"/>
    <w:rsid w:val="00644FE2"/>
    <w:rsid w:val="0067640C"/>
    <w:rsid w:val="00683FA3"/>
    <w:rsid w:val="006934F4"/>
    <w:rsid w:val="006A24C0"/>
    <w:rsid w:val="006E678B"/>
    <w:rsid w:val="007757F3"/>
    <w:rsid w:val="007E6AEB"/>
    <w:rsid w:val="007F7A34"/>
    <w:rsid w:val="008343A2"/>
    <w:rsid w:val="008973EE"/>
    <w:rsid w:val="008C34CF"/>
    <w:rsid w:val="00920316"/>
    <w:rsid w:val="00947A65"/>
    <w:rsid w:val="00971600"/>
    <w:rsid w:val="009973B4"/>
    <w:rsid w:val="009B6ABE"/>
    <w:rsid w:val="009F7EED"/>
    <w:rsid w:val="00A73C42"/>
    <w:rsid w:val="00A864AE"/>
    <w:rsid w:val="00AF0AAB"/>
    <w:rsid w:val="00B95EE6"/>
    <w:rsid w:val="00BF597E"/>
    <w:rsid w:val="00C51A36"/>
    <w:rsid w:val="00C55228"/>
    <w:rsid w:val="00CD46D9"/>
    <w:rsid w:val="00CE315A"/>
    <w:rsid w:val="00D06F59"/>
    <w:rsid w:val="00D8388C"/>
    <w:rsid w:val="00E97F50"/>
    <w:rsid w:val="00EB0164"/>
    <w:rsid w:val="00ED0F62"/>
    <w:rsid w:val="00EF5433"/>
    <w:rsid w:val="00FC50A4"/>
    <w:rsid w:val="01C73711"/>
    <w:rsid w:val="01FC5F1A"/>
    <w:rsid w:val="068663CE"/>
    <w:rsid w:val="09C23348"/>
    <w:rsid w:val="0B52157F"/>
    <w:rsid w:val="0E7D7958"/>
    <w:rsid w:val="108219C2"/>
    <w:rsid w:val="141336D4"/>
    <w:rsid w:val="23601E27"/>
    <w:rsid w:val="26EE794F"/>
    <w:rsid w:val="28CC7865"/>
    <w:rsid w:val="30015464"/>
    <w:rsid w:val="30595FC9"/>
    <w:rsid w:val="330A6E3C"/>
    <w:rsid w:val="36895001"/>
    <w:rsid w:val="3CDE21F3"/>
    <w:rsid w:val="49E1633E"/>
    <w:rsid w:val="4B7D1A73"/>
    <w:rsid w:val="4CA0716B"/>
    <w:rsid w:val="4DA40D17"/>
    <w:rsid w:val="54FE7770"/>
    <w:rsid w:val="55C6172B"/>
    <w:rsid w:val="5DC03935"/>
    <w:rsid w:val="5EA12B9A"/>
    <w:rsid w:val="5F5F2106"/>
    <w:rsid w:val="6B610596"/>
    <w:rsid w:val="6C96136B"/>
    <w:rsid w:val="6CD46965"/>
    <w:rsid w:val="6EB32D74"/>
    <w:rsid w:val="771A20B0"/>
    <w:rsid w:val="79FB5144"/>
    <w:rsid w:val="7A3D0FAD"/>
    <w:rsid w:val="7B814488"/>
    <w:rsid w:val="7E2714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adjustRightInd w:val="0"/>
      <w:snapToGrid w:val="0"/>
      <w:spacing w:line="440" w:lineRule="atLeast"/>
    </w:pPr>
    <w:rPr>
      <w:snapToGrid w:val="0"/>
      <w:kern w:val="0"/>
      <w:sz w:val="24"/>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Hyperlink"/>
    <w:basedOn w:val="8"/>
    <w:semiHidden/>
    <w:unhideWhenUsed/>
    <w:qFormat/>
    <w:uiPriority w:val="99"/>
    <w:rPr>
      <w:color w:val="0000FF"/>
      <w:u w:val="single"/>
    </w:rPr>
  </w:style>
  <w:style w:type="character" w:customStyle="1" w:styleId="10">
    <w:name w:val="页眉 字符"/>
    <w:basedOn w:val="8"/>
    <w:link w:val="6"/>
    <w:qFormat/>
    <w:uiPriority w:val="99"/>
    <w:rPr>
      <w:rFonts w:ascii="Times New Roman" w:hAnsi="Times New Roman" w:eastAsia="宋体" w:cs="Times New Roman"/>
      <w:sz w:val="18"/>
      <w:szCs w:val="18"/>
    </w:rPr>
  </w:style>
  <w:style w:type="character" w:customStyle="1" w:styleId="11">
    <w:name w:val="页脚 字符"/>
    <w:basedOn w:val="8"/>
    <w:link w:val="5"/>
    <w:qFormat/>
    <w:uiPriority w:val="99"/>
    <w:rPr>
      <w:rFonts w:ascii="Times New Roman" w:hAnsi="Times New Roman" w:eastAsia="宋体" w:cs="Times New Roman"/>
      <w:sz w:val="18"/>
      <w:szCs w:val="18"/>
    </w:rPr>
  </w:style>
  <w:style w:type="character" w:customStyle="1" w:styleId="12">
    <w:name w:val="批注框文本 字符"/>
    <w:basedOn w:val="8"/>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qFormat/>
    <w:uiPriority w:val="99"/>
    <w:pPr>
      <w:ind w:firstLine="420" w:firstLineChars="200"/>
    </w:pPr>
  </w:style>
  <w:style w:type="character" w:customStyle="1" w:styleId="15">
    <w:name w:val="info-content-text"/>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337</Words>
  <Characters>1924</Characters>
  <Lines>16</Lines>
  <Paragraphs>4</Paragraphs>
  <TotalTime>1</TotalTime>
  <ScaleCrop>false</ScaleCrop>
  <LinksUpToDate>false</LinksUpToDate>
  <CharactersWithSpaces>2257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2021-03-06T15:19:30Z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