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附1：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0" w:name="_Hlk63542782"/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阀瓣堆焊层硬度测量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GB/T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230.1-2018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金属材料 洛氏硬度试验 第1部分：试验方法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10-35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）℃。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洛氏硬度计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20-70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HRC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最大允许误差±1.5HRC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阀瓣堆焊层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硬度：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(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40-45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)HRC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试样表面应制成光洁的平面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试样支撑面,压头表面及试验台应清洁无污物。根据试样的技术要求、热处理状态等选择合适的试验力、压头及负荷保持时间。将试样稳固的置于支撑台上,保证试样在试验过程中不发生位移。将制备达到要求的试样放于工作台上,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开始检测，初始试验力和主试验力加上后保持负荷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一般为4±2S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然后卸除试验力，读取硬度值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被测物件的硬度值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eastAsia" w:cs="Times New Roman"/>
          <w:sz w:val="24"/>
          <w:szCs w:val="24"/>
          <w:lang w:val="en-US" w:eastAsia="zh-CN"/>
        </w:rPr>
        <w:t>洛氏硬度计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a)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b)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输入量测量重复性不确定度的来源主要是测量重复性引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的标准不确定度。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洛氏硬度计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台洛氏硬度计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，在相临近的时间内，对被测试件连续测量10次，得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6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800"/>
        <w:gridCol w:w="820"/>
        <w:gridCol w:w="780"/>
        <w:gridCol w:w="850"/>
        <w:gridCol w:w="736"/>
        <w:gridCol w:w="666"/>
        <w:gridCol w:w="756"/>
        <w:gridCol w:w="794"/>
        <w:gridCol w:w="718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L读数值</w:t>
            </w:r>
          </w:p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HRC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.1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.2</w:t>
            </w:r>
          </w:p>
        </w:tc>
        <w:tc>
          <w:tcPr>
            <w:tcW w:w="79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.3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.1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  <w:r>
              <w:rPr>
                <w:rFonts w:hint="default" w:ascii="Times New Roman" w:hAnsi="Times New Roman" w:eastAsia="宋体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.1</w:t>
            </w:r>
          </w:p>
        </w:tc>
      </w:tr>
    </w:tbl>
    <w:p>
      <w:pPr>
        <w:widowControl/>
        <w:tabs>
          <w:tab w:val="left" w:pos="8280"/>
        </w:tabs>
        <w:adjustRightInd w:val="0"/>
        <w:spacing w:line="360" w:lineRule="auto"/>
        <w:ind w:right="-512" w:rightChars="-244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6"/>
          <w:sz w:val="24"/>
          <w:szCs w:val="24"/>
        </w:rPr>
        <w:object>
          <v:shape id="_x0000_i1033" o:spt="75" alt="" type="#_x0000_t75" style="height:37.45pt;width:134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33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4" o:spt="75" alt="" type="#_x0000_t75" style="height:44pt;width:190.9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34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74HRC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据GB/T230.2洛氏硬度计的最大允许误差±1.5HRC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 xml:space="preserve">, 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服从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均匀分布，半宽a=1.5HRC,取包含因子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7" o:spt="75" type="#_x0000_t75" style="height:17pt;width:1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3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，则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测量设备的误差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autoSpaceDE w:val="0"/>
        <w:autoSpaceDN w:val="0"/>
        <w:adjustRightInd w:val="0"/>
        <w:spacing w:line="360" w:lineRule="auto"/>
        <w:ind w:firstLine="720" w:firstLineChars="300"/>
        <w:jc w:val="left"/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8" o:spt="75" type="#_x0000_t75" style="height:35pt;width:13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8" DrawAspect="Content" ObjectID="_1468075728" r:id="rId11">
            <o:LockedField>false</o:LockedField>
          </o:OLEObject>
        </w:object>
      </w:r>
    </w:p>
    <w:p>
      <w:pPr>
        <w:spacing w:line="360" w:lineRule="auto"/>
        <w:ind w:left="-142" w:firstLine="2980" w:firstLineChars="1242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4275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（x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i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074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275" w:type="dxa"/>
          </w:tcPr>
          <w:p>
            <w:pPr>
              <w:widowControl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870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μm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4"/>
          <w:sz w:val="24"/>
          <w:szCs w:val="24"/>
          <w:vertAlign w:val="subscript"/>
        </w:rPr>
        <w:object>
          <v:shape id="_x0000_i1036" o:spt="75" alt="" type="#_x0000_t75" style="height:25.3pt;width:24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6" DrawAspect="Content" ObjectID="_1468075729" r:id="rId13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780" w:firstLine="780" w:firstLineChars="325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87HRC</w:t>
      </w:r>
      <w:bookmarkStart w:id="1" w:name="_GoBack"/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1.7HRC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>＝</w:t>
      </w:r>
      <w:r>
        <w:rPr>
          <w:rFonts w:hint="eastAsia" w:cs="Times New Roman"/>
          <w:sz w:val="24"/>
          <w:szCs w:val="24"/>
          <w:lang w:val="en-US" w:eastAsia="zh-CN"/>
        </w:rPr>
        <w:t>1.7HRC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>k 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67C33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131F5C"/>
    <w:rsid w:val="01A572D6"/>
    <w:rsid w:val="01E8114D"/>
    <w:rsid w:val="029D4DA9"/>
    <w:rsid w:val="039E0C08"/>
    <w:rsid w:val="04075530"/>
    <w:rsid w:val="0436565A"/>
    <w:rsid w:val="04444815"/>
    <w:rsid w:val="048E78B7"/>
    <w:rsid w:val="04EB3566"/>
    <w:rsid w:val="052D5D16"/>
    <w:rsid w:val="05834B33"/>
    <w:rsid w:val="059C21AC"/>
    <w:rsid w:val="05CC1598"/>
    <w:rsid w:val="05D917CE"/>
    <w:rsid w:val="062619D7"/>
    <w:rsid w:val="063C65F3"/>
    <w:rsid w:val="06BB37DA"/>
    <w:rsid w:val="06C201D1"/>
    <w:rsid w:val="06F801BF"/>
    <w:rsid w:val="071D00B2"/>
    <w:rsid w:val="07292494"/>
    <w:rsid w:val="07640BC6"/>
    <w:rsid w:val="07736171"/>
    <w:rsid w:val="07A00CE5"/>
    <w:rsid w:val="07A829E9"/>
    <w:rsid w:val="07B775B2"/>
    <w:rsid w:val="07D84327"/>
    <w:rsid w:val="07F70615"/>
    <w:rsid w:val="08685BC2"/>
    <w:rsid w:val="08CD2142"/>
    <w:rsid w:val="09600ABA"/>
    <w:rsid w:val="09BE7075"/>
    <w:rsid w:val="09F53EC7"/>
    <w:rsid w:val="0A6A0552"/>
    <w:rsid w:val="0A6D12D3"/>
    <w:rsid w:val="0A9A5E74"/>
    <w:rsid w:val="0B397FDA"/>
    <w:rsid w:val="0B571171"/>
    <w:rsid w:val="0BF568F1"/>
    <w:rsid w:val="0BFE7F4C"/>
    <w:rsid w:val="0C39210C"/>
    <w:rsid w:val="0C5D575B"/>
    <w:rsid w:val="0C6D0E4F"/>
    <w:rsid w:val="0CDE01E3"/>
    <w:rsid w:val="0CE0510D"/>
    <w:rsid w:val="0DBD2F7C"/>
    <w:rsid w:val="0DC07BA3"/>
    <w:rsid w:val="0DD565AD"/>
    <w:rsid w:val="0E0E4026"/>
    <w:rsid w:val="0E1326AB"/>
    <w:rsid w:val="0E2137A4"/>
    <w:rsid w:val="0EBC1312"/>
    <w:rsid w:val="0ECD4A74"/>
    <w:rsid w:val="0EEB4B2B"/>
    <w:rsid w:val="0F7C3AD7"/>
    <w:rsid w:val="0F895180"/>
    <w:rsid w:val="0FC13A76"/>
    <w:rsid w:val="10C76CC6"/>
    <w:rsid w:val="117068EC"/>
    <w:rsid w:val="1193590A"/>
    <w:rsid w:val="11AF1B39"/>
    <w:rsid w:val="11BE495F"/>
    <w:rsid w:val="11BF157E"/>
    <w:rsid w:val="11DD0A90"/>
    <w:rsid w:val="11F07B6C"/>
    <w:rsid w:val="12710F52"/>
    <w:rsid w:val="128517D8"/>
    <w:rsid w:val="12E47367"/>
    <w:rsid w:val="130D306D"/>
    <w:rsid w:val="13873537"/>
    <w:rsid w:val="139520C4"/>
    <w:rsid w:val="13F0621E"/>
    <w:rsid w:val="150669D4"/>
    <w:rsid w:val="152010AF"/>
    <w:rsid w:val="156A766A"/>
    <w:rsid w:val="1581369B"/>
    <w:rsid w:val="15844914"/>
    <w:rsid w:val="15C75A68"/>
    <w:rsid w:val="15C75CC0"/>
    <w:rsid w:val="160C253A"/>
    <w:rsid w:val="16A92675"/>
    <w:rsid w:val="17270964"/>
    <w:rsid w:val="175072CC"/>
    <w:rsid w:val="18175742"/>
    <w:rsid w:val="183E7280"/>
    <w:rsid w:val="184846F1"/>
    <w:rsid w:val="1891397E"/>
    <w:rsid w:val="19680742"/>
    <w:rsid w:val="19905B34"/>
    <w:rsid w:val="19EA1606"/>
    <w:rsid w:val="1A295A32"/>
    <w:rsid w:val="1A2B58EB"/>
    <w:rsid w:val="1B47770D"/>
    <w:rsid w:val="1B58094D"/>
    <w:rsid w:val="1B8E0F5F"/>
    <w:rsid w:val="1B8F690F"/>
    <w:rsid w:val="1BA01EF7"/>
    <w:rsid w:val="1BFC49D3"/>
    <w:rsid w:val="1CB87686"/>
    <w:rsid w:val="1D181BAF"/>
    <w:rsid w:val="1D20123D"/>
    <w:rsid w:val="1D347F1B"/>
    <w:rsid w:val="1D4A0172"/>
    <w:rsid w:val="1D51099E"/>
    <w:rsid w:val="1D7625E1"/>
    <w:rsid w:val="1D7E6F35"/>
    <w:rsid w:val="1E03261D"/>
    <w:rsid w:val="1E3A785E"/>
    <w:rsid w:val="1FBF3B04"/>
    <w:rsid w:val="1FF22845"/>
    <w:rsid w:val="1FF43D6E"/>
    <w:rsid w:val="200B6EB8"/>
    <w:rsid w:val="207C095D"/>
    <w:rsid w:val="20F75763"/>
    <w:rsid w:val="21141391"/>
    <w:rsid w:val="214F5096"/>
    <w:rsid w:val="2204258C"/>
    <w:rsid w:val="22897E6A"/>
    <w:rsid w:val="22A05F60"/>
    <w:rsid w:val="22CF6C0C"/>
    <w:rsid w:val="23745E92"/>
    <w:rsid w:val="23A470A8"/>
    <w:rsid w:val="23D84F69"/>
    <w:rsid w:val="24884C9B"/>
    <w:rsid w:val="24CB6DA3"/>
    <w:rsid w:val="25263E94"/>
    <w:rsid w:val="25C47678"/>
    <w:rsid w:val="25DC18B8"/>
    <w:rsid w:val="25E901E4"/>
    <w:rsid w:val="261C2806"/>
    <w:rsid w:val="26952394"/>
    <w:rsid w:val="26AA6502"/>
    <w:rsid w:val="26C77B58"/>
    <w:rsid w:val="271523F4"/>
    <w:rsid w:val="273F687F"/>
    <w:rsid w:val="27725E1D"/>
    <w:rsid w:val="27BF5DE8"/>
    <w:rsid w:val="27E67DC6"/>
    <w:rsid w:val="283D6F36"/>
    <w:rsid w:val="2888703C"/>
    <w:rsid w:val="28E30BCC"/>
    <w:rsid w:val="28E72B1C"/>
    <w:rsid w:val="292A5016"/>
    <w:rsid w:val="295164B2"/>
    <w:rsid w:val="295D751C"/>
    <w:rsid w:val="295E52F6"/>
    <w:rsid w:val="29DD4721"/>
    <w:rsid w:val="2ADC0C7B"/>
    <w:rsid w:val="2AE95DBC"/>
    <w:rsid w:val="2B183C58"/>
    <w:rsid w:val="2B915DA3"/>
    <w:rsid w:val="2BAA221C"/>
    <w:rsid w:val="2BB03D0C"/>
    <w:rsid w:val="2BB2651F"/>
    <w:rsid w:val="2C293905"/>
    <w:rsid w:val="2C672178"/>
    <w:rsid w:val="2C7F5B3F"/>
    <w:rsid w:val="2CB95CCB"/>
    <w:rsid w:val="2CBF2EC6"/>
    <w:rsid w:val="2CD45115"/>
    <w:rsid w:val="2D9C69F1"/>
    <w:rsid w:val="2E295516"/>
    <w:rsid w:val="2E5D60B8"/>
    <w:rsid w:val="2F71161C"/>
    <w:rsid w:val="2F8341B4"/>
    <w:rsid w:val="2FC91055"/>
    <w:rsid w:val="31130268"/>
    <w:rsid w:val="31476743"/>
    <w:rsid w:val="3194312D"/>
    <w:rsid w:val="31F564F9"/>
    <w:rsid w:val="3248224A"/>
    <w:rsid w:val="326B7BD8"/>
    <w:rsid w:val="329657FA"/>
    <w:rsid w:val="329A0539"/>
    <w:rsid w:val="32AA72EE"/>
    <w:rsid w:val="32CC6078"/>
    <w:rsid w:val="32FD5AF2"/>
    <w:rsid w:val="331112E0"/>
    <w:rsid w:val="340F5A22"/>
    <w:rsid w:val="344A4C58"/>
    <w:rsid w:val="34C55FEB"/>
    <w:rsid w:val="34D23BA7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461D0E"/>
    <w:rsid w:val="36690C86"/>
    <w:rsid w:val="36874385"/>
    <w:rsid w:val="368972FF"/>
    <w:rsid w:val="369670BA"/>
    <w:rsid w:val="36B1337A"/>
    <w:rsid w:val="36EA7F37"/>
    <w:rsid w:val="36EF3636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9C51A88"/>
    <w:rsid w:val="39F55E38"/>
    <w:rsid w:val="3A366619"/>
    <w:rsid w:val="3A532552"/>
    <w:rsid w:val="3A546CFB"/>
    <w:rsid w:val="3A583AD8"/>
    <w:rsid w:val="3A9E7CD6"/>
    <w:rsid w:val="3AAF7064"/>
    <w:rsid w:val="3B3532F3"/>
    <w:rsid w:val="3BDE79F0"/>
    <w:rsid w:val="3BF007D8"/>
    <w:rsid w:val="3C190BD7"/>
    <w:rsid w:val="3CC6578B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1D630D"/>
    <w:rsid w:val="409E3002"/>
    <w:rsid w:val="409F2474"/>
    <w:rsid w:val="41733268"/>
    <w:rsid w:val="41815A03"/>
    <w:rsid w:val="419824D2"/>
    <w:rsid w:val="419B4960"/>
    <w:rsid w:val="421836FA"/>
    <w:rsid w:val="42473790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7E3CC9"/>
    <w:rsid w:val="45BD2D92"/>
    <w:rsid w:val="45FE3658"/>
    <w:rsid w:val="462C7D91"/>
    <w:rsid w:val="46387880"/>
    <w:rsid w:val="463F1C8F"/>
    <w:rsid w:val="469470DF"/>
    <w:rsid w:val="46D464E0"/>
    <w:rsid w:val="47115130"/>
    <w:rsid w:val="471A718B"/>
    <w:rsid w:val="47674205"/>
    <w:rsid w:val="47CD4DF0"/>
    <w:rsid w:val="481174DD"/>
    <w:rsid w:val="48971A0A"/>
    <w:rsid w:val="49680B69"/>
    <w:rsid w:val="499A7F67"/>
    <w:rsid w:val="499D7538"/>
    <w:rsid w:val="49EA0FF1"/>
    <w:rsid w:val="49F66AF1"/>
    <w:rsid w:val="4A224389"/>
    <w:rsid w:val="4A2B6181"/>
    <w:rsid w:val="4A4334F0"/>
    <w:rsid w:val="4A6B7A4E"/>
    <w:rsid w:val="4AE26A39"/>
    <w:rsid w:val="4B522FFF"/>
    <w:rsid w:val="4B5F1004"/>
    <w:rsid w:val="4BA806D8"/>
    <w:rsid w:val="4BE6799C"/>
    <w:rsid w:val="4BEF747E"/>
    <w:rsid w:val="4C25311D"/>
    <w:rsid w:val="4C37478E"/>
    <w:rsid w:val="4C4E578C"/>
    <w:rsid w:val="4C656B8A"/>
    <w:rsid w:val="4CD60CFE"/>
    <w:rsid w:val="4CF75E6A"/>
    <w:rsid w:val="4D15783D"/>
    <w:rsid w:val="4D745CA4"/>
    <w:rsid w:val="4D9C3C1C"/>
    <w:rsid w:val="4E1A1F86"/>
    <w:rsid w:val="4E376FEA"/>
    <w:rsid w:val="4E404BF6"/>
    <w:rsid w:val="4E537ACA"/>
    <w:rsid w:val="4E57304D"/>
    <w:rsid w:val="4E9273F7"/>
    <w:rsid w:val="4EC074DC"/>
    <w:rsid w:val="4F0F4307"/>
    <w:rsid w:val="4F3508CD"/>
    <w:rsid w:val="4FC501D3"/>
    <w:rsid w:val="503109B0"/>
    <w:rsid w:val="506A3EB6"/>
    <w:rsid w:val="506C483B"/>
    <w:rsid w:val="50CA1F6E"/>
    <w:rsid w:val="510D7F1F"/>
    <w:rsid w:val="51103D48"/>
    <w:rsid w:val="51216689"/>
    <w:rsid w:val="513B0B9F"/>
    <w:rsid w:val="51610189"/>
    <w:rsid w:val="51D57638"/>
    <w:rsid w:val="51D71733"/>
    <w:rsid w:val="52163E48"/>
    <w:rsid w:val="52315D80"/>
    <w:rsid w:val="526747A8"/>
    <w:rsid w:val="5271040D"/>
    <w:rsid w:val="53375584"/>
    <w:rsid w:val="536A5EBD"/>
    <w:rsid w:val="53FA051D"/>
    <w:rsid w:val="546F1767"/>
    <w:rsid w:val="547419BE"/>
    <w:rsid w:val="54A719C3"/>
    <w:rsid w:val="550D2A39"/>
    <w:rsid w:val="55366705"/>
    <w:rsid w:val="558C45D2"/>
    <w:rsid w:val="55D06237"/>
    <w:rsid w:val="55E0145F"/>
    <w:rsid w:val="55E75361"/>
    <w:rsid w:val="561C144A"/>
    <w:rsid w:val="56755922"/>
    <w:rsid w:val="56C5210A"/>
    <w:rsid w:val="570F2FDE"/>
    <w:rsid w:val="57CC2099"/>
    <w:rsid w:val="582F6F84"/>
    <w:rsid w:val="5883181D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BC3241"/>
    <w:rsid w:val="59D42493"/>
    <w:rsid w:val="59F76522"/>
    <w:rsid w:val="5A3F282F"/>
    <w:rsid w:val="5A9B483D"/>
    <w:rsid w:val="5ACE0218"/>
    <w:rsid w:val="5AF61B49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4D535E"/>
    <w:rsid w:val="5D7B6436"/>
    <w:rsid w:val="5D92561D"/>
    <w:rsid w:val="5DE757F8"/>
    <w:rsid w:val="5E6C67F7"/>
    <w:rsid w:val="5E822F43"/>
    <w:rsid w:val="5EF23C9C"/>
    <w:rsid w:val="5EFD54A6"/>
    <w:rsid w:val="5F456B51"/>
    <w:rsid w:val="5FBA6C7D"/>
    <w:rsid w:val="6001421E"/>
    <w:rsid w:val="6007674C"/>
    <w:rsid w:val="600B2CAE"/>
    <w:rsid w:val="602F4E4E"/>
    <w:rsid w:val="604903C9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795759A"/>
    <w:rsid w:val="67E06173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3D6D70"/>
    <w:rsid w:val="6A764632"/>
    <w:rsid w:val="6A8F5AB3"/>
    <w:rsid w:val="6B51027F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004F2"/>
    <w:rsid w:val="6E632DE0"/>
    <w:rsid w:val="6E6711A3"/>
    <w:rsid w:val="6E9F7006"/>
    <w:rsid w:val="6EA232AD"/>
    <w:rsid w:val="6EE5207C"/>
    <w:rsid w:val="6FAF1442"/>
    <w:rsid w:val="6FEB2C4F"/>
    <w:rsid w:val="702B3A5D"/>
    <w:rsid w:val="70FB6942"/>
    <w:rsid w:val="711D6692"/>
    <w:rsid w:val="71411843"/>
    <w:rsid w:val="71472155"/>
    <w:rsid w:val="718843E3"/>
    <w:rsid w:val="71F52FD3"/>
    <w:rsid w:val="72BE3DBB"/>
    <w:rsid w:val="730A7984"/>
    <w:rsid w:val="733C6C07"/>
    <w:rsid w:val="7376125A"/>
    <w:rsid w:val="739666E4"/>
    <w:rsid w:val="74065F4B"/>
    <w:rsid w:val="743D06D5"/>
    <w:rsid w:val="7460690A"/>
    <w:rsid w:val="746B1046"/>
    <w:rsid w:val="747F6300"/>
    <w:rsid w:val="75264FB8"/>
    <w:rsid w:val="7529196A"/>
    <w:rsid w:val="753B0584"/>
    <w:rsid w:val="75513159"/>
    <w:rsid w:val="75EC159B"/>
    <w:rsid w:val="766C27D1"/>
    <w:rsid w:val="77572114"/>
    <w:rsid w:val="77595F33"/>
    <w:rsid w:val="776444D5"/>
    <w:rsid w:val="784903B4"/>
    <w:rsid w:val="789B1DCD"/>
    <w:rsid w:val="78AD2CA3"/>
    <w:rsid w:val="78C47558"/>
    <w:rsid w:val="78E1237D"/>
    <w:rsid w:val="78EB596B"/>
    <w:rsid w:val="79507382"/>
    <w:rsid w:val="795A5205"/>
    <w:rsid w:val="795F2FA9"/>
    <w:rsid w:val="79C936E0"/>
    <w:rsid w:val="79F6091D"/>
    <w:rsid w:val="7A0963C2"/>
    <w:rsid w:val="7A2B1906"/>
    <w:rsid w:val="7A602F8D"/>
    <w:rsid w:val="7A7B1BBB"/>
    <w:rsid w:val="7A7F2C28"/>
    <w:rsid w:val="7AA83914"/>
    <w:rsid w:val="7ABB2DDE"/>
    <w:rsid w:val="7B09220C"/>
    <w:rsid w:val="7B1A5A17"/>
    <w:rsid w:val="7C797189"/>
    <w:rsid w:val="7C95612F"/>
    <w:rsid w:val="7CBD5A0B"/>
    <w:rsid w:val="7CD35AB8"/>
    <w:rsid w:val="7D396B96"/>
    <w:rsid w:val="7DC46F29"/>
    <w:rsid w:val="7DDA6779"/>
    <w:rsid w:val="7DE91E93"/>
    <w:rsid w:val="7E320E13"/>
    <w:rsid w:val="7E943B7D"/>
    <w:rsid w:val="7F18172A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Plain Text"/>
    <w:basedOn w:val="1"/>
    <w:semiHidden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3</TotalTime>
  <ScaleCrop>false</ScaleCrop>
  <LinksUpToDate>false</LinksUpToDate>
  <CharactersWithSpaces>1424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2021-03-11T01:16:40Z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