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ascii="Times New Roman" w:hAnsi="Times New Roman" w:cs="Times New Roman"/>
          <w:b/>
          <w:bCs/>
          <w:sz w:val="30"/>
          <w:szCs w:val="30"/>
        </w:rPr>
      </w:pPr>
      <w:bookmarkStart w:id="0" w:name="_Hlk63542782"/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WCB级钢材抗拉强度测量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</w:rPr>
        <w:t>过程</w:t>
      </w:r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不确</w:t>
      </w:r>
      <w:r>
        <w:rPr>
          <w:rFonts w:hint="default" w:ascii="Times New Roman" w:hAnsi="Times New Roman" w:cs="Times New Roman"/>
          <w:b/>
          <w:bCs/>
          <w:color w:val="auto"/>
          <w:sz w:val="30"/>
          <w:szCs w:val="30"/>
          <w:lang w:val="en-US" w:eastAsia="zh-CN"/>
        </w:rPr>
        <w:t>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GB/T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228.1-2010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金属材料拉伸试验第1部分：室温试验方法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10-35</w:t>
      </w:r>
      <w:r>
        <w:rPr>
          <w:rFonts w:hint="eastAsia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℃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液压万能试验机</w:t>
      </w:r>
      <w:r>
        <w:rPr>
          <w:rFonts w:hint="default" w:ascii="Times New Roman" w:hAnsi="Times New Roman" w:eastAsia="宋体" w:cs="Times New Roman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0-100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kN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最大允许误差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1%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抗拉强度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（485-655）MPa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采用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直径为Φ10mm的圆试样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使用液压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万能试验机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实施测量。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开启试验机，将试样夹持在试验机上，打开试验软件，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以受控的速率施加轴向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力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直至试样断裂，并读出抗拉强度值。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spacing w:line="360" w:lineRule="auto"/>
        <w:ind w:firstLine="1320" w:firstLineChars="550"/>
        <w:rPr>
          <w:rFonts w:hint="default" w:ascii="Times New Roman" w:hAnsi="Times New Roman" w:eastAsia="宋体" w:cs="Times New Roman"/>
          <w:color w:val="000000"/>
          <w:kern w:val="0"/>
          <w:position w:val="-30"/>
          <w:sz w:val="24"/>
          <w:szCs w:val="24"/>
          <w:vertAlign w:val="subscript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position w:val="-30"/>
          <w:sz w:val="24"/>
          <w:szCs w:val="24"/>
        </w:rPr>
        <w:object>
          <v:shape id="_x0000_i1025" o:spt="75" type="#_x0000_t75" style="height:38.25pt;width:51.7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snapToGrid w:val="0"/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kern w:val="0"/>
          <w:sz w:val="24"/>
          <w:szCs w:val="24"/>
          <w:lang w:val="en-US" w:eastAsia="zh-CN"/>
        </w:rPr>
        <w:t>公式中：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bscript"/>
          <w:lang w:val="en-US" w:eastAsia="zh-CN"/>
        </w:rPr>
        <w:t>m-------</w:t>
      </w:r>
      <w:r>
        <w:rPr>
          <w:rFonts w:hint="eastAsia" w:cs="Times New Roman"/>
          <w:color w:val="000000"/>
          <w:kern w:val="0"/>
          <w:sz w:val="24"/>
          <w:szCs w:val="24"/>
          <w:vertAlign w:val="baseline"/>
          <w:lang w:val="en-US" w:eastAsia="zh-CN"/>
        </w:rPr>
        <w:t>抗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拉强度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 xml:space="preserve">  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baseline"/>
          <w:lang w:val="en-US" w:eastAsia="zh-CN"/>
        </w:rPr>
        <w:t>S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bscript"/>
          <w:lang w:val="en-US" w:eastAsia="zh-CN"/>
        </w:rPr>
        <w:t>0-------</w:t>
      </w:r>
      <w:r>
        <w:rPr>
          <w:rFonts w:hint="eastAsia" w:cs="Times New Roman"/>
          <w:color w:val="000000"/>
          <w:kern w:val="0"/>
          <w:sz w:val="24"/>
          <w:szCs w:val="24"/>
          <w:vertAlign w:val="baseline"/>
          <w:lang w:val="en-US" w:eastAsia="zh-CN"/>
        </w:rPr>
        <w:t>试样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原始横截面积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 xml:space="preserve">  </w:t>
      </w:r>
      <w:r>
        <w:rPr>
          <w:rFonts w:hint="eastAsia" w:cs="Times New Roman"/>
          <w:color w:val="000000"/>
          <w:kern w:val="0"/>
          <w:sz w:val="24"/>
          <w:szCs w:val="24"/>
          <w:vertAlign w:val="superscript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baseline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bscript"/>
          <w:lang w:val="en-US" w:eastAsia="zh-CN"/>
        </w:rPr>
        <w:t>m-----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最大试验力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;</w: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snapToGrid w:val="0"/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</w:rPr>
        <w:object>
          <v:shape id="_x0000_i1026" o:spt="75" type="#_x0000_t75" style="height:25.25pt;width:2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</w:rPr>
      </w:pPr>
    </w:p>
    <w:p>
      <w:pPr>
        <w:snapToGrid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14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  <w:lang w:val="en-US" w:eastAsia="zh-CN"/>
        </w:rPr>
        <w:t>2.1、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14"/>
          <w:sz w:val="24"/>
          <w:szCs w:val="24"/>
          <w:lang w:val="en-US" w:eastAsia="zh-CN"/>
        </w:rPr>
        <w:t>测量重复性引入的A类相对标准不确定度</w:t>
      </w:r>
      <w:r>
        <w:rPr>
          <w:rFonts w:hint="eastAsia" w:cs="Times New Roman"/>
          <w:b/>
          <w:bCs/>
          <w:i/>
          <w:iCs/>
          <w:color w:val="000000"/>
          <w:kern w:val="0"/>
          <w:position w:val="-14"/>
          <w:sz w:val="24"/>
          <w:szCs w:val="24"/>
          <w:lang w:val="en-US" w:eastAsia="zh-CN"/>
        </w:rPr>
        <w:t>u</w:t>
      </w:r>
      <w:r>
        <w:rPr>
          <w:rFonts w:hint="eastAsia" w:cs="Times New Roman"/>
          <w:b/>
          <w:bCs/>
          <w:color w:val="000000"/>
          <w:kern w:val="0"/>
          <w:position w:val="-14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b/>
          <w:bCs/>
          <w:color w:val="000000"/>
          <w:kern w:val="0"/>
          <w:position w:val="-14"/>
          <w:sz w:val="24"/>
          <w:szCs w:val="24"/>
          <w:vertAlign w:val="baseline"/>
          <w:lang w:val="en-US" w:eastAsia="zh-CN"/>
        </w:rPr>
        <w:t>(rep)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14"/>
          <w:sz w:val="24"/>
          <w:szCs w:val="24"/>
          <w:lang w:val="en-US" w:eastAsia="zh-CN"/>
        </w:rPr>
        <w:t>的评定</w:t>
      </w:r>
    </w:p>
    <w:p>
      <w:pPr>
        <w:snapToGrid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position w:val="-14"/>
          <w:sz w:val="24"/>
          <w:szCs w:val="24"/>
          <w:lang w:val="en-US" w:eastAsia="zh-CN"/>
        </w:rPr>
      </w:pPr>
    </w:p>
    <w:p>
      <w:pPr>
        <w:spacing w:line="360" w:lineRule="auto"/>
        <w:ind w:firstLine="48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A类评定测量：在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液压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万能试验机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台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液压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万能试验机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，在相临近的时间内，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在同一根钢材上取10个试样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连续测量，得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到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485" w:tblpY="244"/>
        <w:tblOverlap w:val="never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800"/>
        <w:gridCol w:w="820"/>
        <w:gridCol w:w="780"/>
        <w:gridCol w:w="850"/>
        <w:gridCol w:w="804"/>
        <w:gridCol w:w="680"/>
        <w:gridCol w:w="754"/>
        <w:gridCol w:w="714"/>
        <w:gridCol w:w="718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47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4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读数值</w:t>
            </w:r>
          </w:p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MPa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80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607</w:t>
            </w:r>
          </w:p>
        </w:tc>
        <w:tc>
          <w:tcPr>
            <w:tcW w:w="680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605</w:t>
            </w:r>
          </w:p>
        </w:tc>
        <w:tc>
          <w:tcPr>
            <w:tcW w:w="718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609</w:t>
            </w:r>
          </w:p>
        </w:tc>
        <w:tc>
          <w:tcPr>
            <w:tcW w:w="765" w:type="dxa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609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</w:p>
    <w:p>
      <w:pPr>
        <w:spacing w:line="360" w:lineRule="auto"/>
        <w:ind w:firstLine="1440" w:firstLineChars="6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position w:val="-26"/>
          <w:sz w:val="24"/>
          <w:szCs w:val="24"/>
        </w:rPr>
        <w:object>
          <v:shape id="_x0000_i1027" o:spt="75" type="#_x0000_t75" style="height:39.5pt;width:150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：</w:t>
      </w:r>
    </w:p>
    <w:p>
      <w:pPr>
        <w:snapToGrid w:val="0"/>
        <w:ind w:firstLine="1440" w:firstLineChars="600"/>
        <w:jc w:val="left"/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</w:rPr>
        <w:object>
          <v:shape id="_x0000_i1028" o:spt="75" type="#_x0000_t75" style="height:46pt;width:206.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  <w:lang w:val="en-US" w:eastAsia="zh-CN"/>
        </w:rPr>
        <w:t>相对标准偏差：</w:t>
      </w:r>
    </w:p>
    <w:p>
      <w:pPr>
        <w:snapToGrid w:val="0"/>
        <w:ind w:firstLine="1440" w:firstLineChars="600"/>
        <w:jc w:val="left"/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position w:val="-28"/>
          <w:sz w:val="24"/>
          <w:szCs w:val="24"/>
          <w:lang w:val="en-US" w:eastAsia="zh-CN"/>
        </w:rPr>
        <w:object>
          <v:shape id="_x0000_i1029" o:spt="75" type="#_x0000_t75" style="height:35pt;width:254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napToGrid w:val="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被测量估计值（</w:t>
      </w:r>
      <w:r>
        <w:rPr>
          <w:rFonts w:hint="default" w:ascii="Times New Roman" w:hAnsi="Times New Roman" w:eastAsia="宋体" w:cs="Times New Roman"/>
          <w:color w:val="auto"/>
          <w:kern w:val="0"/>
          <w:position w:val="-8"/>
          <w:sz w:val="24"/>
          <w:szCs w:val="24"/>
        </w:rPr>
        <w:object>
          <v:shape id="_x0000_i1030" o:spt="75" type="#_x0000_t75" style="height:19pt;width:20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eastAsia" w:cs="Times New Roman"/>
          <w:i/>
          <w:iCs/>
          <w:color w:val="auto"/>
          <w:kern w:val="0"/>
          <w:sz w:val="24"/>
          <w:szCs w:val="24"/>
          <w:lang w:val="en-US" w:eastAsia="zh-CN"/>
        </w:rPr>
        <w:t>u</w:t>
      </w:r>
      <w:r>
        <w:rPr>
          <w:rFonts w:hint="eastAsia" w:cs="Times New Roman"/>
          <w:color w:val="auto"/>
          <w:kern w:val="0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(rep)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color w:val="auto"/>
          <w:kern w:val="0"/>
          <w:position w:val="-8"/>
          <w:sz w:val="24"/>
          <w:szCs w:val="24"/>
        </w:rPr>
        <w:object>
          <v:shape id="_x0000_i1031" o:spt="75" type="#_x0000_t75" style="height:19pt;width:20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</w:t>
      </w: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均值，取n=1）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,则相对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标准不确定度分量：</w:t>
      </w:r>
    </w:p>
    <w:p>
      <w:pPr>
        <w:snapToGrid w:val="0"/>
        <w:ind w:firstLine="720" w:firstLineChars="3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snapToGrid w:val="0"/>
        <w:ind w:firstLine="1440" w:firstLineChars="600"/>
        <w:jc w:val="left"/>
        <w:rPr>
          <w:rFonts w:hint="default" w:ascii="Times New Roman" w:hAnsi="Times New Roman" w:eastAsia="宋体" w:cs="Times New Roman"/>
          <w:color w:val="000000"/>
          <w:kern w:val="0"/>
          <w:position w:val="-14"/>
          <w:sz w:val="24"/>
          <w:szCs w:val="24"/>
          <w:lang w:val="en-US" w:eastAsia="zh-CN"/>
        </w:rPr>
      </w:pPr>
      <w:r>
        <w:rPr>
          <w:rFonts w:hint="eastAsia" w:cs="Times New Roman"/>
          <w:i/>
          <w:iCs/>
          <w:color w:val="auto"/>
          <w:kern w:val="0"/>
          <w:sz w:val="24"/>
          <w:szCs w:val="24"/>
          <w:lang w:val="en-US" w:eastAsia="zh-CN"/>
        </w:rPr>
        <w:t>u</w:t>
      </w:r>
      <w:r>
        <w:rPr>
          <w:rFonts w:hint="eastAsia" w:cs="Times New Roman"/>
          <w:color w:val="auto"/>
          <w:kern w:val="0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(rep)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=S</w:t>
      </w:r>
      <w:r>
        <w:rPr>
          <w:rFonts w:hint="eastAsia" w:cs="Times New Roman"/>
          <w:color w:val="auto"/>
          <w:kern w:val="0"/>
          <w:sz w:val="24"/>
          <w:szCs w:val="24"/>
          <w:vertAlign w:val="subscript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0.57</w:t>
      </w: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  <w:t>%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2.2、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最大力F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的B类相对标准不确定度</w:t>
      </w:r>
      <w:r>
        <w:rPr>
          <w:rFonts w:hint="eastAsia" w:cs="Times New Roman"/>
          <w:b/>
          <w:bCs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eastAsia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(F</w:t>
      </w:r>
      <w:r>
        <w:rPr>
          <w:rFonts w:hint="eastAsia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m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的评定</w:t>
      </w:r>
    </w:p>
    <w:p>
      <w:pPr>
        <w:spacing w:line="360" w:lineRule="auto"/>
        <w:ind w:left="719" w:leftChars="228" w:hanging="240" w:hanging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(1)</w:t>
      </w: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液压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万能试验机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设备的最大允许误差±1%，服从均匀分配，置信因子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  <w:lang w:val="en-US" w:eastAsia="zh-CN"/>
        </w:rPr>
        <w:object>
          <v:shape id="_x0000_i1032" o:spt="75" type="#_x0000_t75" style="height:19pt;width:19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,半宽a=1%,</w:t>
      </w:r>
      <w:r>
        <w:rPr>
          <w:rFonts w:hint="default" w:ascii="Times New Roman" w:hAnsi="Times New Roman" w:eastAsia="宋体" w:cs="Times New Roman"/>
          <w:sz w:val="24"/>
          <w:szCs w:val="24"/>
        </w:rPr>
        <w:t>则由设备示值误差引入的</w:t>
      </w:r>
      <w:r>
        <w:rPr>
          <w:rFonts w:hint="eastAsia" w:cs="Times New Roman"/>
          <w:sz w:val="24"/>
          <w:szCs w:val="24"/>
          <w:lang w:val="en-US" w:eastAsia="zh-CN"/>
        </w:rPr>
        <w:t>相对标准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不确定分量为：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position w:val="-28"/>
          <w:sz w:val="24"/>
          <w:szCs w:val="24"/>
        </w:rPr>
        <w:object>
          <v:shape id="_x0000_i1033" o:spt="75" type="#_x0000_t75" style="height:34.95pt;width:128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1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(2)计算机数据采集系统引入的相对标准不确定度</w:t>
      </w:r>
      <w:r>
        <w:rPr>
          <w:rFonts w:hint="eastAsia" w:cs="Times New Roman"/>
          <w:i/>
          <w:iCs/>
          <w:color w:val="auto"/>
          <w:sz w:val="24"/>
          <w:szCs w:val="24"/>
          <w:lang w:val="en-US" w:eastAsia="zh-CN"/>
        </w:rPr>
        <w:t>u</w:t>
      </w:r>
      <w:r>
        <w:rPr>
          <w:rFonts w:hint="eastAsia" w:cs="Times New Roman"/>
          <w:i/>
          <w:iCs/>
          <w:color w:val="auto"/>
          <w:sz w:val="24"/>
          <w:szCs w:val="24"/>
          <w:vertAlign w:val="subscript"/>
          <w:lang w:val="en-US" w:eastAsia="zh-CN"/>
        </w:rPr>
        <w:t>F2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的评定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计算机数据采集系统引入的相对标准不确定度为0.2×10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perscript"/>
          <w:lang w:val="en-US" w:eastAsia="zh-CN"/>
        </w:rPr>
        <w:t>-2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i/>
          <w:position w:val="-12"/>
          <w:sz w:val="24"/>
          <w:szCs w:val="24"/>
        </w:rPr>
        <w:object>
          <v:shape id="_x0000_i1034" o:spt="75" type="#_x0000_t75" style="height:18pt;width:63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</w:p>
    <w:p>
      <w:pPr>
        <w:numPr>
          <w:ilvl w:val="0"/>
          <w:numId w:val="0"/>
        </w:numPr>
        <w:spacing w:line="360" w:lineRule="auto"/>
        <w:ind w:left="480" w:leftChars="0" w:firstLine="240" w:firstLineChars="1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最大力F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的相对标准不确定度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分量：</w:t>
      </w:r>
    </w:p>
    <w:p>
      <w:pPr>
        <w:numPr>
          <w:ilvl w:val="0"/>
          <w:numId w:val="0"/>
        </w:numPr>
        <w:spacing w:line="360" w:lineRule="auto"/>
        <w:ind w:left="480" w:leftChars="0" w:firstLine="240" w:firstLineChars="1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-14"/>
          <w:sz w:val="24"/>
          <w:szCs w:val="24"/>
          <w:lang w:val="en-US" w:eastAsia="zh-CN"/>
        </w:rPr>
        <w:object>
          <v:shape id="_x0000_i1035" o:spt="75" type="#_x0000_t75" style="height:24.95pt;width:289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2.3、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原始横截面积S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的B类相对标准不确定度</w:t>
      </w:r>
      <w:r>
        <w:rPr>
          <w:rFonts w:hint="eastAsia" w:cs="Times New Roman"/>
          <w:b/>
          <w:bCs/>
          <w:color w:val="auto"/>
          <w:sz w:val="24"/>
          <w:szCs w:val="24"/>
          <w:lang w:val="en-US" w:eastAsia="zh-CN"/>
        </w:rPr>
        <w:t>u</w:t>
      </w:r>
      <w:r>
        <w:rPr>
          <w:rFonts w:hint="eastAsia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rel</w:t>
      </w:r>
      <w:r>
        <w:rPr>
          <w:rFonts w:hint="eastAsia" w:cs="Times New Roman"/>
          <w:b/>
          <w:bCs/>
          <w:color w:val="auto"/>
          <w:sz w:val="24"/>
          <w:szCs w:val="24"/>
          <w:vertAlign w:val="baseline"/>
          <w:lang w:val="en-US" w:eastAsia="zh-CN"/>
        </w:rPr>
        <w:t>(S</w:t>
      </w:r>
      <w:r>
        <w:rPr>
          <w:rFonts w:hint="eastAsia" w:cs="Times New Roman"/>
          <w:b/>
          <w:bCs/>
          <w:color w:val="auto"/>
          <w:sz w:val="24"/>
          <w:szCs w:val="24"/>
          <w:vertAlign w:val="subscript"/>
          <w:lang w:val="en-US" w:eastAsia="zh-CN"/>
        </w:rPr>
        <w:t>0</w:t>
      </w:r>
      <w:r>
        <w:rPr>
          <w:rFonts w:hint="eastAsia" w:cs="Times New Roman"/>
          <w:b/>
          <w:bCs/>
          <w:color w:val="auto"/>
          <w:sz w:val="24"/>
          <w:szCs w:val="24"/>
          <w:vertAlign w:val="baseline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的评定</w:t>
      </w:r>
    </w:p>
    <w:p>
      <w:pPr>
        <w:numPr>
          <w:ilvl w:val="0"/>
          <w:numId w:val="0"/>
        </w:numPr>
        <w:spacing w:line="360" w:lineRule="auto"/>
        <w:ind w:firstLine="720" w:firstLineChars="300"/>
        <w:rPr>
          <w:rFonts w:hint="eastAsia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-26"/>
          <w:sz w:val="24"/>
          <w:szCs w:val="24"/>
          <w:lang w:val="en-US" w:eastAsia="zh-CN"/>
        </w:rPr>
        <w:object>
          <v:shape id="_x0000_i1036" o:spt="75" type="#_x0000_t75" style="height:36pt;width:51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hint="eastAsia" w:cs="Times New Roman"/>
          <w:color w:val="auto"/>
          <w:position w:val="-26"/>
          <w:sz w:val="24"/>
          <w:szCs w:val="24"/>
          <w:lang w:val="en-US" w:eastAsia="zh-CN"/>
        </w:rPr>
        <w:t xml:space="preserve">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公式中d---试样直径</w:t>
      </w:r>
    </w:p>
    <w:p>
      <w:pPr>
        <w:numPr>
          <w:ilvl w:val="0"/>
          <w:numId w:val="0"/>
        </w:numPr>
        <w:spacing w:line="360" w:lineRule="auto"/>
        <w:ind w:left="718" w:leftChars="342"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测量原始横截面积时，测量每个尺寸应准确到±0.5%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服从均匀分配，置信因子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eastAsia="宋体" w:cs="Times New Roman"/>
          <w:position w:val="-8"/>
          <w:sz w:val="24"/>
          <w:szCs w:val="24"/>
          <w:lang w:val="en-US" w:eastAsia="zh-CN"/>
        </w:rPr>
        <w:object>
          <v:shape id="_x0000_i1037" o:spt="75" type="#_x0000_t75" style="height:19pt;width:19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,半宽a=1%</w:t>
      </w:r>
      <w:r>
        <w:rPr>
          <w:rFonts w:hint="eastAsia" w:cs="Times New Roman"/>
          <w:sz w:val="24"/>
          <w:szCs w:val="24"/>
          <w:lang w:val="en-US" w:eastAsia="zh-CN"/>
        </w:rPr>
        <w:t>，则：</w:t>
      </w: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  <w:lang w:val="en-US" w:eastAsia="zh-CN"/>
        </w:rPr>
        <w:object>
          <v:shape id="_x0000_i1038" o:spt="75" type="#_x0000_t75" style="height:35pt;width:150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0">
            <o:LockedField>false</o:LockedField>
          </o:OLEObject>
        </w:object>
      </w: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position w:val="-28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position w:val="-28"/>
          <w:sz w:val="24"/>
          <w:szCs w:val="24"/>
          <w:lang w:val="en-US" w:eastAsia="zh-CN"/>
        </w:rPr>
        <w:t>则：原始横截面积的相对标准不确定度分量：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position w:val="-12"/>
          <w:sz w:val="24"/>
          <w:szCs w:val="24"/>
          <w:lang w:val="en-US" w:eastAsia="zh-CN"/>
        </w:rPr>
        <w:object>
          <v:shape id="_x0000_i1039" o:spt="75" type="#_x0000_t75" style="height:18pt;width:219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2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合成标准不确定度的评定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</w:t>
      </w:r>
      <w:r>
        <w:rPr>
          <w:rFonts w:hint="eastAsia" w:cs="Times New Roman"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sz w:val="24"/>
          <w:szCs w:val="24"/>
        </w:rPr>
        <w:t>标准不确定度汇总于表2。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500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4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相对标准不确定度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4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i/>
                <w:iCs/>
                <w:color w:val="000000"/>
                <w:kern w:val="0"/>
                <w:position w:val="-14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position w:val="-14"/>
                <w:sz w:val="24"/>
                <w:szCs w:val="24"/>
                <w:vertAlign w:val="subscript"/>
                <w:lang w:val="en-US" w:eastAsia="zh-CN"/>
              </w:rPr>
              <w:t>rel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position w:val="-14"/>
                <w:sz w:val="24"/>
                <w:szCs w:val="24"/>
                <w:vertAlign w:val="baseline"/>
                <w:lang w:val="en-US" w:eastAsia="zh-CN"/>
              </w:rPr>
              <w:t>(rep)</w:t>
            </w:r>
          </w:p>
        </w:tc>
        <w:tc>
          <w:tcPr>
            <w:tcW w:w="25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0.57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14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cs="Times New Roman"/>
                <w:b w:val="0"/>
                <w:bCs w:val="0"/>
                <w:i/>
                <w:iCs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rel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(F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m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5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最大力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0.61%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4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subscript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rel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(S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subscript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)</w:t>
            </w:r>
          </w:p>
        </w:tc>
        <w:tc>
          <w:tcPr>
            <w:tcW w:w="25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试样原始横截面积</w:t>
            </w:r>
          </w:p>
        </w:tc>
        <w:tc>
          <w:tcPr>
            <w:tcW w:w="2254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0.578%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sz w:val="24"/>
          <w:szCs w:val="24"/>
        </w:rPr>
        <w:t>合成标准不确定度可按下式得到：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position w:val="-42"/>
          <w:sz w:val="24"/>
          <w:szCs w:val="24"/>
        </w:rPr>
        <w:object>
          <v:shape id="_x0000_i1040" o:spt="75" type="#_x0000_t75" style="height:48.6pt;width:219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相对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扩展不确定度的计算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2，置信概率 95％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sz w:val="24"/>
          <w:szCs w:val="24"/>
        </w:rPr>
        <w:t>得</w:t>
      </w:r>
    </w:p>
    <w:p>
      <w:pPr>
        <w:spacing w:line="360" w:lineRule="auto"/>
        <w:ind w:left="360" w:firstLine="480" w:firstLineChars="20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eastAsia" w:cs="Times New Roman"/>
          <w:i/>
          <w:sz w:val="24"/>
          <w:szCs w:val="24"/>
          <w:vertAlign w:val="subscript"/>
          <w:lang w:val="en-US" w:eastAsia="zh-CN"/>
        </w:rPr>
        <w:t>rel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（R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vertAlign w:val="subscript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kern w:val="0"/>
          <w:position w:val="-14"/>
          <w:sz w:val="24"/>
          <w:szCs w:val="24"/>
        </w:rPr>
        <w:object>
          <v:shape id="_x0000_i1041" o:spt="75" type="#_x0000_t75" style="height:19pt;width:49.9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1.0%</w:t>
      </w:r>
      <w:r>
        <w:rPr>
          <w:rFonts w:hint="default" w:ascii="Times New Roman" w:hAnsi="Times New Roman" w:eastAsia="宋体" w:cs="Times New Roman"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2.0%</w:t>
      </w:r>
      <w:r>
        <w:rPr>
          <w:rFonts w:hint="eastAsia" w:cs="Times New Roman"/>
          <w:sz w:val="24"/>
          <w:szCs w:val="24"/>
          <w:lang w:val="en-US" w:eastAsia="zh-CN"/>
        </w:rPr>
        <w:t>;则：</w:t>
      </w:r>
    </w:p>
    <w:p>
      <w:pPr>
        <w:spacing w:line="360" w:lineRule="auto"/>
        <w:ind w:left="360" w:firstLine="480" w:firstLineChars="200"/>
        <w:rPr>
          <w:rFonts w:hint="eastAsia" w:cs="Times New Roman"/>
          <w:i/>
          <w:iCs/>
          <w:sz w:val="24"/>
          <w:szCs w:val="24"/>
          <w:lang w:val="en-US" w:eastAsia="zh-CN"/>
        </w:rPr>
      </w:pPr>
      <w:r>
        <w:rPr>
          <w:rFonts w:hint="eastAsia" w:cs="Times New Roman"/>
          <w:position w:val="-12"/>
          <w:sz w:val="24"/>
          <w:szCs w:val="24"/>
          <w:lang w:val="en-US" w:eastAsia="zh-CN"/>
        </w:rPr>
        <w:object>
          <v:shape id="_x0000_i1044" o:spt="75" type="#_x0000_t75" style="height:21pt;width:294.95pt;" o:ole="t" filled="f" o:preferrelative="t" stroked="f" coordsize="21600,21600"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4" DrawAspect="Content" ObjectID="_1468075742" r:id="rId38">
            <o:LockedField>false</o:LockedField>
          </o:OLEObject>
        </w:objec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left="780" w:firstLine="919" w:firstLineChars="383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eastAsia" w:cs="Times New Roman"/>
          <w:i w:val="0"/>
          <w:iCs/>
          <w:sz w:val="24"/>
          <w:szCs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vertAlign w:val="subscript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  <w:lang w:val="en-US" w:eastAsia="zh-CN"/>
        </w:rPr>
        <w:t>12.09MPa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iCs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iCs w:val="0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 w:val="0"/>
          <w:iCs/>
          <w:kern w:val="0"/>
          <w:sz w:val="24"/>
          <w:szCs w:val="24"/>
        </w:rPr>
        <w:t xml:space="preserve"> = 2</w:t>
      </w:r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7B3FC4"/>
    <w:multiLevelType w:val="singleLevel"/>
    <w:tmpl w:val="A97B3FC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81C90"/>
    <w:rsid w:val="005A154F"/>
    <w:rsid w:val="005A7359"/>
    <w:rsid w:val="006640CF"/>
    <w:rsid w:val="006E25D7"/>
    <w:rsid w:val="00702D38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0F9582A"/>
    <w:rsid w:val="01A572D6"/>
    <w:rsid w:val="01E8114D"/>
    <w:rsid w:val="029D4DA9"/>
    <w:rsid w:val="039E0C08"/>
    <w:rsid w:val="0436565A"/>
    <w:rsid w:val="04444815"/>
    <w:rsid w:val="052D5D16"/>
    <w:rsid w:val="05834B33"/>
    <w:rsid w:val="059C21AC"/>
    <w:rsid w:val="05CC1598"/>
    <w:rsid w:val="05D917CE"/>
    <w:rsid w:val="062619D7"/>
    <w:rsid w:val="063C65F3"/>
    <w:rsid w:val="06C201D1"/>
    <w:rsid w:val="07640BC6"/>
    <w:rsid w:val="07736171"/>
    <w:rsid w:val="07A00CE5"/>
    <w:rsid w:val="07A829E9"/>
    <w:rsid w:val="07B775B2"/>
    <w:rsid w:val="07D84327"/>
    <w:rsid w:val="07F70615"/>
    <w:rsid w:val="08685BC2"/>
    <w:rsid w:val="09600ABA"/>
    <w:rsid w:val="09BE7075"/>
    <w:rsid w:val="09F53EC7"/>
    <w:rsid w:val="0A6A0552"/>
    <w:rsid w:val="0A6D12D3"/>
    <w:rsid w:val="0A9A5E74"/>
    <w:rsid w:val="0B397FDA"/>
    <w:rsid w:val="0B571171"/>
    <w:rsid w:val="0BFE7F4C"/>
    <w:rsid w:val="0C39210C"/>
    <w:rsid w:val="0C5D575B"/>
    <w:rsid w:val="0CDE01E3"/>
    <w:rsid w:val="0DC07BA3"/>
    <w:rsid w:val="0DD565AD"/>
    <w:rsid w:val="0E0E4026"/>
    <w:rsid w:val="0E1326AB"/>
    <w:rsid w:val="0E2137A4"/>
    <w:rsid w:val="0EBC1312"/>
    <w:rsid w:val="0EEB4B2B"/>
    <w:rsid w:val="0F7C3AD7"/>
    <w:rsid w:val="0F895180"/>
    <w:rsid w:val="0FC13A76"/>
    <w:rsid w:val="10C76CC6"/>
    <w:rsid w:val="117068EC"/>
    <w:rsid w:val="1193590A"/>
    <w:rsid w:val="11AF1B39"/>
    <w:rsid w:val="11DD0A90"/>
    <w:rsid w:val="11F07B6C"/>
    <w:rsid w:val="13873537"/>
    <w:rsid w:val="139520C4"/>
    <w:rsid w:val="150669D4"/>
    <w:rsid w:val="1581369B"/>
    <w:rsid w:val="15844914"/>
    <w:rsid w:val="15C75A68"/>
    <w:rsid w:val="175072CC"/>
    <w:rsid w:val="18175742"/>
    <w:rsid w:val="183E7280"/>
    <w:rsid w:val="184846F1"/>
    <w:rsid w:val="1891397E"/>
    <w:rsid w:val="19905B34"/>
    <w:rsid w:val="1A295A32"/>
    <w:rsid w:val="1A2B58EB"/>
    <w:rsid w:val="1B47770D"/>
    <w:rsid w:val="1B58094D"/>
    <w:rsid w:val="1B8F690F"/>
    <w:rsid w:val="1CB87686"/>
    <w:rsid w:val="1D20123D"/>
    <w:rsid w:val="1D4A0172"/>
    <w:rsid w:val="1D51099E"/>
    <w:rsid w:val="1D7625E1"/>
    <w:rsid w:val="1E03261D"/>
    <w:rsid w:val="1E3A785E"/>
    <w:rsid w:val="1FF43D6E"/>
    <w:rsid w:val="200B6EB8"/>
    <w:rsid w:val="207C095D"/>
    <w:rsid w:val="21141391"/>
    <w:rsid w:val="214F5096"/>
    <w:rsid w:val="2204258C"/>
    <w:rsid w:val="22897E6A"/>
    <w:rsid w:val="22A05F60"/>
    <w:rsid w:val="22CF6C0C"/>
    <w:rsid w:val="23A470A8"/>
    <w:rsid w:val="24884C9B"/>
    <w:rsid w:val="24CB6DA3"/>
    <w:rsid w:val="25263E94"/>
    <w:rsid w:val="25C47678"/>
    <w:rsid w:val="25DC18B8"/>
    <w:rsid w:val="25E901E4"/>
    <w:rsid w:val="26952394"/>
    <w:rsid w:val="26AA6502"/>
    <w:rsid w:val="26C77B58"/>
    <w:rsid w:val="271523F4"/>
    <w:rsid w:val="273F687F"/>
    <w:rsid w:val="27725E1D"/>
    <w:rsid w:val="27E67DC6"/>
    <w:rsid w:val="2888703C"/>
    <w:rsid w:val="28E30BCC"/>
    <w:rsid w:val="292A5016"/>
    <w:rsid w:val="295D751C"/>
    <w:rsid w:val="295E52F6"/>
    <w:rsid w:val="2AE95DBC"/>
    <w:rsid w:val="2B183C58"/>
    <w:rsid w:val="2B915DA3"/>
    <w:rsid w:val="2BB2651F"/>
    <w:rsid w:val="2C293905"/>
    <w:rsid w:val="2C672178"/>
    <w:rsid w:val="2C7F5B3F"/>
    <w:rsid w:val="2CB95CCB"/>
    <w:rsid w:val="2CD45115"/>
    <w:rsid w:val="2F71161C"/>
    <w:rsid w:val="2F8341B4"/>
    <w:rsid w:val="2FC91055"/>
    <w:rsid w:val="31130268"/>
    <w:rsid w:val="31476743"/>
    <w:rsid w:val="3194312D"/>
    <w:rsid w:val="31F564F9"/>
    <w:rsid w:val="326B7BD8"/>
    <w:rsid w:val="329657FA"/>
    <w:rsid w:val="32CC6078"/>
    <w:rsid w:val="32FD5AF2"/>
    <w:rsid w:val="331112E0"/>
    <w:rsid w:val="344A4C58"/>
    <w:rsid w:val="35081864"/>
    <w:rsid w:val="35221E10"/>
    <w:rsid w:val="3594212D"/>
    <w:rsid w:val="35AF42BC"/>
    <w:rsid w:val="35BB3EF0"/>
    <w:rsid w:val="35BC43EE"/>
    <w:rsid w:val="35D21864"/>
    <w:rsid w:val="36184782"/>
    <w:rsid w:val="361D2439"/>
    <w:rsid w:val="369670BA"/>
    <w:rsid w:val="36B1337A"/>
    <w:rsid w:val="36EA7F37"/>
    <w:rsid w:val="374B63DB"/>
    <w:rsid w:val="37A94C31"/>
    <w:rsid w:val="37F17F01"/>
    <w:rsid w:val="3832240A"/>
    <w:rsid w:val="385C5CFF"/>
    <w:rsid w:val="389B0011"/>
    <w:rsid w:val="38F00271"/>
    <w:rsid w:val="3979419B"/>
    <w:rsid w:val="39983970"/>
    <w:rsid w:val="39B90E5F"/>
    <w:rsid w:val="3A366619"/>
    <w:rsid w:val="3A532552"/>
    <w:rsid w:val="3A546CFB"/>
    <w:rsid w:val="3A9E7CD6"/>
    <w:rsid w:val="3B3532F3"/>
    <w:rsid w:val="3BF007D8"/>
    <w:rsid w:val="3C190BD7"/>
    <w:rsid w:val="3CD52698"/>
    <w:rsid w:val="3E5364E3"/>
    <w:rsid w:val="3E6E530F"/>
    <w:rsid w:val="3E782D86"/>
    <w:rsid w:val="3E7D1666"/>
    <w:rsid w:val="3E9D59BC"/>
    <w:rsid w:val="3ECF2A41"/>
    <w:rsid w:val="3F113FAD"/>
    <w:rsid w:val="3F45685F"/>
    <w:rsid w:val="3F652FF2"/>
    <w:rsid w:val="3F6903D3"/>
    <w:rsid w:val="3F6A1D37"/>
    <w:rsid w:val="3F880E75"/>
    <w:rsid w:val="3FA173DB"/>
    <w:rsid w:val="3FA977D6"/>
    <w:rsid w:val="3FB17206"/>
    <w:rsid w:val="3FB52560"/>
    <w:rsid w:val="409F2474"/>
    <w:rsid w:val="41733268"/>
    <w:rsid w:val="41815A03"/>
    <w:rsid w:val="419B4960"/>
    <w:rsid w:val="421836FA"/>
    <w:rsid w:val="42B72E18"/>
    <w:rsid w:val="43116D5D"/>
    <w:rsid w:val="43226E9A"/>
    <w:rsid w:val="43310DEF"/>
    <w:rsid w:val="43E1370A"/>
    <w:rsid w:val="447828CB"/>
    <w:rsid w:val="44957419"/>
    <w:rsid w:val="44CE6944"/>
    <w:rsid w:val="45084E0D"/>
    <w:rsid w:val="4510340A"/>
    <w:rsid w:val="45436606"/>
    <w:rsid w:val="454C526C"/>
    <w:rsid w:val="45FE3658"/>
    <w:rsid w:val="462C7D91"/>
    <w:rsid w:val="463F1C8F"/>
    <w:rsid w:val="47115130"/>
    <w:rsid w:val="47674205"/>
    <w:rsid w:val="481174DD"/>
    <w:rsid w:val="49680B69"/>
    <w:rsid w:val="499A7F67"/>
    <w:rsid w:val="499D7538"/>
    <w:rsid w:val="49EA0FF1"/>
    <w:rsid w:val="4A224389"/>
    <w:rsid w:val="4A2B6181"/>
    <w:rsid w:val="4A4334F0"/>
    <w:rsid w:val="4B522FFF"/>
    <w:rsid w:val="4B5F1004"/>
    <w:rsid w:val="4BA806D8"/>
    <w:rsid w:val="4BE6799C"/>
    <w:rsid w:val="4C25311D"/>
    <w:rsid w:val="4C37478E"/>
    <w:rsid w:val="4C4E578C"/>
    <w:rsid w:val="4CD60CFE"/>
    <w:rsid w:val="4D15783D"/>
    <w:rsid w:val="4D745CA4"/>
    <w:rsid w:val="4E376FEA"/>
    <w:rsid w:val="4E537ACA"/>
    <w:rsid w:val="4E9273F7"/>
    <w:rsid w:val="4EC074DC"/>
    <w:rsid w:val="4F3508CD"/>
    <w:rsid w:val="4FC501D3"/>
    <w:rsid w:val="503109B0"/>
    <w:rsid w:val="506A3EB6"/>
    <w:rsid w:val="50CA1F6E"/>
    <w:rsid w:val="510D7F1F"/>
    <w:rsid w:val="51103D48"/>
    <w:rsid w:val="513B0B9F"/>
    <w:rsid w:val="51610189"/>
    <w:rsid w:val="51D71733"/>
    <w:rsid w:val="52163E48"/>
    <w:rsid w:val="52315D80"/>
    <w:rsid w:val="526747A8"/>
    <w:rsid w:val="5271040D"/>
    <w:rsid w:val="536A5EBD"/>
    <w:rsid w:val="546F1767"/>
    <w:rsid w:val="54A719C3"/>
    <w:rsid w:val="550D2A39"/>
    <w:rsid w:val="55366705"/>
    <w:rsid w:val="558C45D2"/>
    <w:rsid w:val="55E0145F"/>
    <w:rsid w:val="561C144A"/>
    <w:rsid w:val="56755922"/>
    <w:rsid w:val="57CC2099"/>
    <w:rsid w:val="582F6F84"/>
    <w:rsid w:val="58901B50"/>
    <w:rsid w:val="589249BA"/>
    <w:rsid w:val="58D81F6A"/>
    <w:rsid w:val="58F639C2"/>
    <w:rsid w:val="58F91F1B"/>
    <w:rsid w:val="5944689B"/>
    <w:rsid w:val="594D7C19"/>
    <w:rsid w:val="597C5875"/>
    <w:rsid w:val="59956C1A"/>
    <w:rsid w:val="59D42493"/>
    <w:rsid w:val="5A3F282F"/>
    <w:rsid w:val="5A9B483D"/>
    <w:rsid w:val="5ACE0218"/>
    <w:rsid w:val="5BA913FC"/>
    <w:rsid w:val="5BEA2D95"/>
    <w:rsid w:val="5C27098D"/>
    <w:rsid w:val="5C4F1973"/>
    <w:rsid w:val="5C501380"/>
    <w:rsid w:val="5C854FDC"/>
    <w:rsid w:val="5CB54C7C"/>
    <w:rsid w:val="5CB80534"/>
    <w:rsid w:val="5D36115F"/>
    <w:rsid w:val="5D7B6436"/>
    <w:rsid w:val="5DE757F8"/>
    <w:rsid w:val="5E6C67F7"/>
    <w:rsid w:val="5EFD54A6"/>
    <w:rsid w:val="5FBA6C7D"/>
    <w:rsid w:val="6001421E"/>
    <w:rsid w:val="6007674C"/>
    <w:rsid w:val="600B2CAE"/>
    <w:rsid w:val="602F4E4E"/>
    <w:rsid w:val="60501025"/>
    <w:rsid w:val="60571F5B"/>
    <w:rsid w:val="60A22F1C"/>
    <w:rsid w:val="61131B89"/>
    <w:rsid w:val="614439C5"/>
    <w:rsid w:val="61877715"/>
    <w:rsid w:val="625C24E6"/>
    <w:rsid w:val="6304360C"/>
    <w:rsid w:val="636B6556"/>
    <w:rsid w:val="639677D8"/>
    <w:rsid w:val="63BD10F1"/>
    <w:rsid w:val="63DB627B"/>
    <w:rsid w:val="65107258"/>
    <w:rsid w:val="66413CAC"/>
    <w:rsid w:val="675A3771"/>
    <w:rsid w:val="676A399F"/>
    <w:rsid w:val="681A2A94"/>
    <w:rsid w:val="681B0E89"/>
    <w:rsid w:val="682A1EA8"/>
    <w:rsid w:val="687136DB"/>
    <w:rsid w:val="68C8067B"/>
    <w:rsid w:val="690F086D"/>
    <w:rsid w:val="6923468F"/>
    <w:rsid w:val="69567324"/>
    <w:rsid w:val="69970073"/>
    <w:rsid w:val="69B33D64"/>
    <w:rsid w:val="69E35E2E"/>
    <w:rsid w:val="6A764632"/>
    <w:rsid w:val="6B975284"/>
    <w:rsid w:val="6BAD067B"/>
    <w:rsid w:val="6BF70BCC"/>
    <w:rsid w:val="6C5A5A6D"/>
    <w:rsid w:val="6CB540F2"/>
    <w:rsid w:val="6D195B18"/>
    <w:rsid w:val="6D1A7968"/>
    <w:rsid w:val="6DA0701F"/>
    <w:rsid w:val="6E54677B"/>
    <w:rsid w:val="6E632DE0"/>
    <w:rsid w:val="6E9F7006"/>
    <w:rsid w:val="6EA232AD"/>
    <w:rsid w:val="6EE5207C"/>
    <w:rsid w:val="6FEB2C4F"/>
    <w:rsid w:val="702B3A5D"/>
    <w:rsid w:val="71472155"/>
    <w:rsid w:val="718843E3"/>
    <w:rsid w:val="71F52FD3"/>
    <w:rsid w:val="72BE3DBB"/>
    <w:rsid w:val="733C6C07"/>
    <w:rsid w:val="7376125A"/>
    <w:rsid w:val="739666E4"/>
    <w:rsid w:val="74065F4B"/>
    <w:rsid w:val="743D06D5"/>
    <w:rsid w:val="7460690A"/>
    <w:rsid w:val="747F6300"/>
    <w:rsid w:val="7529196A"/>
    <w:rsid w:val="753B0584"/>
    <w:rsid w:val="75513159"/>
    <w:rsid w:val="75EC159B"/>
    <w:rsid w:val="766C27D1"/>
    <w:rsid w:val="77572114"/>
    <w:rsid w:val="77595F33"/>
    <w:rsid w:val="784903B4"/>
    <w:rsid w:val="789B1DCD"/>
    <w:rsid w:val="78AD2CA3"/>
    <w:rsid w:val="78E1237D"/>
    <w:rsid w:val="78EB596B"/>
    <w:rsid w:val="79507382"/>
    <w:rsid w:val="79F6091D"/>
    <w:rsid w:val="7A0963C2"/>
    <w:rsid w:val="7A2B1906"/>
    <w:rsid w:val="7A602F8D"/>
    <w:rsid w:val="7A7B1BBB"/>
    <w:rsid w:val="7A7F2C28"/>
    <w:rsid w:val="7AA83914"/>
    <w:rsid w:val="7B09220C"/>
    <w:rsid w:val="7B1A5A17"/>
    <w:rsid w:val="7C797189"/>
    <w:rsid w:val="7CBD5A0B"/>
    <w:rsid w:val="7CD35AB8"/>
    <w:rsid w:val="7DC46F29"/>
    <w:rsid w:val="7DDA6779"/>
    <w:rsid w:val="7DE91E93"/>
    <w:rsid w:val="7E320E13"/>
    <w:rsid w:val="7FB6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theme" Target="theme/theme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13</TotalTime>
  <ScaleCrop>false</ScaleCrop>
  <LinksUpToDate>false</LinksUpToDate>
  <CharactersWithSpaces>1424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金银铜铁</cp:lastModifiedBy>
  <dcterms:modified xsi:type="dcterms:W3CDTF">2021-03-09T01:43:35Z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