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0046-2020-2021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1302"/>
        <w:gridCol w:w="1149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bookmarkStart w:id="1" w:name="_GoBack" w:colFirst="1" w:colLast="1"/>
            <w:r>
              <w:rPr>
                <w:rFonts w:hint="eastAsia"/>
              </w:rPr>
              <w:t>4.总要求</w:t>
            </w:r>
          </w:p>
        </w:tc>
        <w:tc>
          <w:tcPr>
            <w:tcW w:w="1302" w:type="dxa"/>
            <w:vAlign w:val="top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1302" w:type="dxa"/>
            <w:vAlign w:val="top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1302" w:type="dxa"/>
            <w:vAlign w:val="top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1302" w:type="dxa"/>
            <w:vAlign w:val="top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1302" w:type="dxa"/>
            <w:vAlign w:val="top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1302" w:type="dxa"/>
            <w:vAlign w:val="top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1302" w:type="dxa"/>
            <w:vAlign w:val="top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1302" w:type="dxa"/>
            <w:vAlign w:val="top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1302" w:type="dxa"/>
            <w:vAlign w:val="top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1302" w:type="dxa"/>
            <w:vAlign w:val="top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1302" w:type="dxa"/>
            <w:vAlign w:val="top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1302" w:type="dxa"/>
            <w:vAlign w:val="top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1302" w:type="dxa"/>
            <w:vAlign w:val="top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1302" w:type="dxa"/>
            <w:vAlign w:val="top"/>
          </w:tcPr>
          <w:p>
            <w:pPr>
              <w:widowControl/>
              <w:ind w:firstLine="210" w:firstLineChars="10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1302" w:type="dxa"/>
            <w:vAlign w:val="top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4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bookmarkEnd w:id="1"/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124585" cy="570865"/>
            <wp:effectExtent l="0" t="0" r="18415" b="63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2021、3、15</w:t>
      </w:r>
    </w:p>
    <w:p>
      <w:r>
        <w:rPr>
          <w:rFonts w:hint="eastAsia" w:ascii="宋体" w:hAnsi="宋体" w:cs="宋体"/>
          <w:kern w:val="0"/>
          <w:szCs w:val="21"/>
        </w:rPr>
        <w:t xml:space="preserve">              </w:t>
      </w:r>
    </w:p>
    <w:p>
      <w:pPr>
        <w:jc w:val="right"/>
        <w:rPr>
          <w:rFonts w:hint="eastAsia" w:eastAsia="宋体"/>
          <w:lang w:eastAsia="zh-CN"/>
        </w:rPr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91374F"/>
    <w:rsid w:val="6AE12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2021-03-15T08:01:21Z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