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page" w:tblpX="1217" w:tblpY="857"/>
        <w:tblOverlap w:val="never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79"/>
        <w:gridCol w:w="900"/>
        <w:gridCol w:w="1552"/>
        <w:gridCol w:w="2570"/>
        <w:gridCol w:w="1912"/>
        <w:gridCol w:w="127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0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测量过程编号</w:t>
            </w: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201901</w:t>
            </w:r>
          </w:p>
        </w:tc>
        <w:tc>
          <w:tcPr>
            <w:tcW w:w="155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测量过程名称</w:t>
            </w:r>
          </w:p>
        </w:tc>
        <w:tc>
          <w:tcPr>
            <w:tcW w:w="257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1"/>
              </w:rPr>
              <w:t>三相电能表整表</w:t>
            </w:r>
            <w:r>
              <w:rPr>
                <w:rFonts w:hint="eastAsia"/>
                <w:szCs w:val="21"/>
              </w:rPr>
              <w:t>误差</w:t>
            </w:r>
            <w:r>
              <w:rPr>
                <w:szCs w:val="21"/>
              </w:rPr>
              <w:t>检验</w:t>
            </w:r>
            <w:r>
              <w:rPr>
                <w:rFonts w:hint="eastAsia"/>
                <w:szCs w:val="21"/>
              </w:rPr>
              <w:t>过程</w:t>
            </w:r>
          </w:p>
        </w:tc>
        <w:tc>
          <w:tcPr>
            <w:tcW w:w="191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测量过程规范编号</w:t>
            </w:r>
          </w:p>
        </w:tc>
        <w:tc>
          <w:tcPr>
            <w:tcW w:w="12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SDLZ-CLGF-201901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1" w:hRule="atLeast"/>
        </w:trPr>
        <w:tc>
          <w:tcPr>
            <w:tcW w:w="150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55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测量项目</w:t>
            </w:r>
          </w:p>
        </w:tc>
        <w:tc>
          <w:tcPr>
            <w:tcW w:w="257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t>平衡负载基本误差</w:t>
            </w:r>
            <w:r>
              <w:rPr>
                <w:kern w:val="0"/>
                <w:szCs w:val="21"/>
              </w:rPr>
              <w:t>±0.6</w:t>
            </w:r>
            <w:r>
              <w:rPr>
                <w:rFonts w:hint="eastAsia"/>
                <w:kern w:val="0"/>
                <w:szCs w:val="21"/>
              </w:rPr>
              <w:t>%</w:t>
            </w:r>
          </w:p>
        </w:tc>
        <w:tc>
          <w:tcPr>
            <w:tcW w:w="191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控制程度</w:t>
            </w:r>
          </w:p>
        </w:tc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717" w:type="dxa"/>
            <w:gridSpan w:val="8"/>
          </w:tcPr>
          <w:p>
            <w:pPr>
              <w:spacing w:line="360" w:lineRule="auto"/>
              <w:rPr>
                <w:bCs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测量过程要素概述：</w:t>
            </w:r>
          </w:p>
          <w:p>
            <w:pPr>
              <w:spacing w:line="240" w:lineRule="atLeast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测量设备：</w:t>
            </w:r>
            <w:r>
              <w:t>电能表</w:t>
            </w:r>
            <w:r>
              <w:rPr>
                <w:rFonts w:hint="eastAsia"/>
                <w:lang w:val="en-US" w:eastAsia="zh-CN"/>
              </w:rPr>
              <w:t>检验</w:t>
            </w:r>
            <w:r>
              <w:t>装置，型号PTC-8320D，准确度等级为0.05级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default" w:eastAsiaTheme="majorEastAsia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eastAsiaTheme="majorEastAsia"/>
                <w:kern w:val="0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JJG596-2012《电子式交流电能表》</w:t>
            </w:r>
          </w:p>
          <w:p>
            <w:pPr>
              <w:spacing w:line="240" w:lineRule="atLeast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温度23±2℃，湿度≤85%RH</w:t>
            </w:r>
          </w:p>
          <w:p>
            <w:pPr>
              <w:spacing w:line="240" w:lineRule="atLeast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测量软件；无</w:t>
            </w:r>
          </w:p>
          <w:p>
            <w:pPr>
              <w:spacing w:line="240" w:lineRule="atLeast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操作者技能：仪器操作人员，经培训合格，有两年以上经验，操作人员取得安全操作上岗证。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kern w:val="0"/>
                <w:szCs w:val="21"/>
              </w:rPr>
              <w:t xml:space="preserve">其他影响量：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71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有效性确认记录:</w:t>
            </w:r>
          </w:p>
          <w:p>
            <w:pPr>
              <w:spacing w:line="240" w:lineRule="atLeast"/>
              <w:rPr>
                <w:rFonts w:eastAsiaTheme="majorEastAsia"/>
                <w:color w:val="auto"/>
                <w:szCs w:val="21"/>
                <w:highlight w:val="none"/>
              </w:rPr>
            </w:pPr>
            <w:r>
              <w:rPr>
                <w:rFonts w:eastAsiaTheme="majorEastAsia"/>
                <w:szCs w:val="21"/>
              </w:rPr>
              <w:t>1、查看</w:t>
            </w:r>
            <w:r>
              <w:t>电能表</w:t>
            </w:r>
            <w:r>
              <w:rPr>
                <w:rFonts w:hint="eastAsia"/>
                <w:lang w:val="en-US" w:eastAsia="zh-CN"/>
              </w:rPr>
              <w:t>检验</w:t>
            </w:r>
            <w:r>
              <w:t>装置</w:t>
            </w:r>
            <w:r>
              <w:rPr>
                <w:rFonts w:eastAsiaTheme="majorEastAsia"/>
                <w:szCs w:val="21"/>
              </w:rPr>
              <w:t>，</w:t>
            </w:r>
            <w:r>
              <w:rPr>
                <w:rFonts w:hint="eastAsia" w:eastAsiaTheme="majorEastAsia"/>
                <w:szCs w:val="21"/>
              </w:rPr>
              <w:t>检定</w:t>
            </w:r>
            <w:r>
              <w:rPr>
                <w:rFonts w:eastAsiaTheme="majorEastAsia"/>
                <w:kern w:val="0"/>
                <w:szCs w:val="21"/>
              </w:rPr>
              <w:t>证书编号：</w:t>
            </w:r>
            <w:r>
              <w:rPr>
                <w:rFonts w:hint="eastAsia" w:eastAsiaTheme="majorEastAsia"/>
                <w:kern w:val="0"/>
                <w:szCs w:val="21"/>
              </w:rPr>
              <w:t>E</w:t>
            </w:r>
            <w:r>
              <w:rPr>
                <w:rFonts w:eastAsiaTheme="majorEastAsia"/>
                <w:kern w:val="0"/>
                <w:szCs w:val="21"/>
              </w:rPr>
              <w:t>08-20190283</w:t>
            </w:r>
            <w:r>
              <w:rPr>
                <w:rFonts w:eastAsiaTheme="majorEastAsia"/>
                <w:bCs/>
                <w:szCs w:val="21"/>
              </w:rPr>
              <w:t>，</w:t>
            </w:r>
            <w:r>
              <w:rPr>
                <w:rFonts w:hint="eastAsia" w:eastAsiaTheme="majorEastAsia"/>
                <w:bCs/>
                <w:color w:val="auto"/>
                <w:szCs w:val="21"/>
                <w:highlight w:val="none"/>
              </w:rPr>
              <w:t>周期间隔为2</w:t>
            </w:r>
            <w:r>
              <w:rPr>
                <w:rFonts w:eastAsiaTheme="majorEastAsia"/>
                <w:bCs/>
                <w:color w:val="auto"/>
                <w:szCs w:val="21"/>
                <w:highlight w:val="none"/>
              </w:rPr>
              <w:t>4</w:t>
            </w:r>
            <w:r>
              <w:rPr>
                <w:rFonts w:hint="eastAsia" w:eastAsiaTheme="majorEastAsia"/>
                <w:bCs/>
                <w:color w:val="auto"/>
                <w:szCs w:val="21"/>
                <w:highlight w:val="none"/>
              </w:rPr>
              <w:t>个月，有效日期：</w:t>
            </w:r>
            <w:r>
              <w:rPr>
                <w:rFonts w:eastAsiaTheme="majorEastAsia"/>
                <w:bCs/>
                <w:color w:val="auto"/>
                <w:szCs w:val="21"/>
                <w:highlight w:val="none"/>
              </w:rPr>
              <w:t>2020年7月31日，</w:t>
            </w:r>
            <w:r>
              <w:rPr>
                <w:rFonts w:hint="eastAsia" w:eastAsiaTheme="majorEastAsia"/>
                <w:bCs/>
                <w:color w:val="auto"/>
                <w:szCs w:val="21"/>
                <w:highlight w:val="none"/>
              </w:rPr>
              <w:t>检定</w:t>
            </w:r>
            <w:r>
              <w:rPr>
                <w:rFonts w:eastAsiaTheme="majorEastAsia"/>
                <w:bCs/>
                <w:color w:val="auto"/>
                <w:szCs w:val="21"/>
                <w:highlight w:val="none"/>
              </w:rPr>
              <w:t>机构：山东</w:t>
            </w:r>
            <w:r>
              <w:rPr>
                <w:rFonts w:hint="eastAsia" w:eastAsiaTheme="majorEastAsia"/>
                <w:bCs/>
                <w:color w:val="auto"/>
                <w:szCs w:val="21"/>
                <w:highlight w:val="none"/>
              </w:rPr>
              <w:t>省计量科学研究院，准确度等级为0</w:t>
            </w:r>
            <w:r>
              <w:rPr>
                <w:rFonts w:eastAsiaTheme="majorEastAsia"/>
                <w:bCs/>
                <w:color w:val="auto"/>
                <w:szCs w:val="21"/>
                <w:highlight w:val="none"/>
              </w:rPr>
              <w:t>.05</w:t>
            </w:r>
            <w:r>
              <w:rPr>
                <w:rFonts w:hint="eastAsia" w:eastAsiaTheme="majorEastAsia"/>
                <w:bCs/>
                <w:color w:val="auto"/>
                <w:szCs w:val="21"/>
                <w:highlight w:val="none"/>
              </w:rPr>
              <w:t>级。</w:t>
            </w:r>
            <w:r>
              <w:rPr>
                <w:rFonts w:eastAsiaTheme="majorEastAsia"/>
                <w:color w:val="auto"/>
                <w:szCs w:val="21"/>
                <w:highlight w:val="none"/>
              </w:rPr>
              <w:t>符合要求。</w:t>
            </w:r>
          </w:p>
          <w:p>
            <w:pPr>
              <w:spacing w:line="240" w:lineRule="atLeast"/>
              <w:rPr>
                <w:rFonts w:eastAsiaTheme="majorEastAsia"/>
                <w:color w:val="auto"/>
                <w:szCs w:val="21"/>
                <w:highlight w:val="none"/>
              </w:rPr>
            </w:pPr>
            <w:r>
              <w:rPr>
                <w:rFonts w:eastAsiaTheme="majorEastAsia"/>
                <w:color w:val="auto"/>
                <w:szCs w:val="21"/>
                <w:highlight w:val="none"/>
              </w:rPr>
              <w:t>2、检测过程有效性进行确认：</w:t>
            </w:r>
          </w:p>
          <w:p>
            <w:pPr>
              <w:spacing w:line="240" w:lineRule="atLeast"/>
              <w:rPr>
                <w:rFonts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Theme="majorEastAsia"/>
                <w:kern w:val="0"/>
                <w:szCs w:val="21"/>
              </w:rPr>
              <w:t>（1）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  <w:r>
              <w:rPr>
                <w:rFonts w:hint="eastAsia" w:eastAsiaTheme="majorEastAsia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年10月25日，用</w:t>
            </w:r>
            <w:r>
              <w:rPr>
                <w:rFonts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电能表</w:t>
            </w:r>
            <w:r>
              <w:rPr>
                <w:rFonts w:hint="eastAsia" w:eastAsiaTheme="majorEastAsia"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检验</w:t>
            </w:r>
            <w:r>
              <w:rPr>
                <w:rFonts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装置</w:t>
            </w:r>
            <w:r>
              <w:rPr>
                <w:rFonts w:hint="eastAsia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，在</w:t>
            </w:r>
            <w:r>
              <w:rPr>
                <w:szCs w:val="21"/>
              </w:rPr>
              <w:t xml:space="preserve"> COSφ=1.0</w:t>
            </w:r>
            <w:r>
              <w:rPr>
                <w:rFonts w:hint="eastAsia"/>
                <w:szCs w:val="21"/>
              </w:rPr>
              <w:t>，0.05Ib</w:t>
            </w:r>
            <w:r>
              <w:rPr>
                <w:rFonts w:hint="eastAsia"/>
                <w:szCs w:val="21"/>
                <w:lang w:val="en-US" w:eastAsia="zh-CN"/>
              </w:rPr>
              <w:t>时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</w:t>
            </w:r>
            <w:r>
              <w:rPr>
                <w:rFonts w:hint="eastAsia"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被检表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进行3次检测，</w:t>
            </w:r>
            <w:r>
              <w:rPr>
                <w:rFonts w:hint="eastAsia" w:eastAsiaTheme="majorEastAsia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得误差</w:t>
            </w:r>
            <w:r>
              <w:rPr>
                <w:iCs/>
                <w:szCs w:val="21"/>
              </w:rPr>
              <w:t xml:space="preserve"> </w:t>
            </w:r>
            <w:r>
              <w:rPr>
                <w:rFonts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 w:eastAsiaTheme="majorEastAsia"/>
                      <w:i/>
                      <w:color w:val="0D0D0D" w:themeColor="text1" w:themeTint="F2"/>
                      <w:szCs w:val="21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m:ctrlPr>
                </m:accPr>
                <m:e>
                  <m:r>
                    <w:rPr>
                      <w:rFonts w:ascii="Cambria Math" w:eastAsiaTheme="majorEastAsia"/>
                      <w:color w:val="0D0D0D" w:themeColor="text1" w:themeTint="F2"/>
                      <w:szCs w:val="21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m:t>y</m:t>
                  </m:r>
                  <m:ctrlPr>
                    <w:rPr>
                      <w:rFonts w:ascii="Cambria Math" w:hAnsi="Cambria Math" w:eastAsiaTheme="majorEastAsia"/>
                      <w:i/>
                      <w:color w:val="0D0D0D" w:themeColor="text1" w:themeTint="F2"/>
                      <w:szCs w:val="21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m:ctrlPr>
                </m:e>
              </m:acc>
            </m:oMath>
            <w:r>
              <w:rPr>
                <w:rFonts w:eastAsiaTheme="majorEastAsia"/>
                <w:color w:val="0D0D0D" w:themeColor="text1" w:themeTint="F2"/>
                <w:szCs w:val="21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</w:t>
            </w:r>
            <w:r>
              <w:rPr>
                <w:szCs w:val="21"/>
              </w:rPr>
              <w:t>0.013</w:t>
            </w:r>
            <w:r>
              <w:rPr>
                <w:rFonts w:hint="eastAsia"/>
                <w:szCs w:val="21"/>
              </w:rPr>
              <w:t>%</w:t>
            </w:r>
          </w:p>
          <w:p>
            <w:pPr>
              <w:spacing w:line="240" w:lineRule="atLeast"/>
              <w:rPr>
                <w:rFonts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（2））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</w:t>
            </w:r>
            <w:r>
              <w:rPr>
                <w:rFonts w:hint="eastAsia" w:eastAsiaTheme="majorEastAsia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</w:t>
            </w:r>
            <w:r>
              <w:rPr>
                <w:rFonts w:hint="eastAsia" w:eastAsiaTheme="majorEastAsia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月</w:t>
            </w:r>
            <w:r>
              <w:rPr>
                <w:rFonts w:hint="eastAsia" w:eastAsiaTheme="majorEastAsia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电能表</w:t>
            </w:r>
            <w:r>
              <w:rPr>
                <w:rFonts w:hint="eastAsia" w:eastAsiaTheme="majorEastAsia"/>
                <w:color w:val="0D0D0D" w:themeColor="text1" w:themeTint="F2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检验</w:t>
            </w:r>
            <w:r>
              <w:rPr>
                <w:rFonts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装置</w:t>
            </w:r>
            <w:r>
              <w:rPr>
                <w:rFonts w:hint="eastAsia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，在</w:t>
            </w:r>
            <w:r>
              <w:rPr>
                <w:szCs w:val="21"/>
              </w:rPr>
              <w:t xml:space="preserve"> COSφ=1.0</w:t>
            </w:r>
            <w:r>
              <w:rPr>
                <w:rFonts w:hint="eastAsia"/>
                <w:szCs w:val="21"/>
              </w:rPr>
              <w:t>，0.05Ib</w:t>
            </w:r>
            <w:r>
              <w:rPr>
                <w:rFonts w:hint="eastAsia"/>
                <w:szCs w:val="21"/>
                <w:lang w:val="en-US" w:eastAsia="zh-CN"/>
              </w:rPr>
              <w:t>时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</w:t>
            </w:r>
            <w:r>
              <w:rPr>
                <w:rFonts w:hint="eastAsia"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被检表</w:t>
            </w:r>
            <w:r>
              <w:rPr>
                <w:rFonts w:eastAsiaTheme="maj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进行3次检测，</w:t>
            </w:r>
            <w:r>
              <w:rPr>
                <w:rFonts w:hint="eastAsia" w:eastAsiaTheme="majorEastAsia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得误差</w:t>
            </w:r>
            <w:r>
              <w:rPr>
                <w:rFonts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平均值</w:t>
            </w:r>
            <m:oMath>
              <m:acc>
                <m:accPr>
                  <m:chr m:val="̄"/>
                  <m:ctrlPr>
                    <w:rPr>
                      <w:rFonts w:ascii="Cambria Math" w:hAnsi="Cambria Math" w:eastAsiaTheme="majorEastAsia"/>
                      <w:i/>
                      <w:color w:val="0D0D0D" w:themeColor="text1" w:themeTint="F2"/>
                      <w:szCs w:val="21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m:ctrlPr>
                </m:accPr>
                <m:e>
                  <m:r>
                    <w:rPr>
                      <w:rFonts w:ascii="Cambria Math" w:eastAsiaTheme="majorEastAsia"/>
                      <w:color w:val="0D0D0D" w:themeColor="text1" w:themeTint="F2"/>
                      <w:szCs w:val="21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m:t>y</m:t>
                  </m:r>
                  <m:ctrlPr>
                    <w:rPr>
                      <w:rFonts w:ascii="Cambria Math" w:hAnsi="Cambria Math" w:eastAsiaTheme="majorEastAsia"/>
                      <w:i/>
                      <w:color w:val="0D0D0D" w:themeColor="text1" w:themeTint="F2"/>
                      <w:szCs w:val="21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m:ctrlPr>
                </m:e>
              </m:acc>
            </m:oMath>
            <w:r>
              <w:rPr>
                <w:rFonts w:eastAsiaTheme="majorEastAsia"/>
                <w:color w:val="0D0D0D" w:themeColor="text1" w:themeTint="F2"/>
                <w:szCs w:val="21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=0.034</w:t>
            </w:r>
            <w:r>
              <w:rPr>
                <w:rFonts w:hint="eastAsia" w:eastAsiaTheme="majorEastAsia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  <w:p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ind w:firstLine="840" w:firstLineChars="400"/>
            </w:pPr>
            <w:r>
              <w:t>COSφ=1.0</w:t>
            </w:r>
            <w:r>
              <w:rPr>
                <w:rFonts w:hint="eastAsia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测量过程的</w:t>
            </w:r>
            <w:r>
              <w:t>扩展不确定度</w:t>
            </w:r>
            <w:r>
              <w:rPr>
                <w:i/>
              </w:rPr>
              <w:t>U</w:t>
            </w:r>
            <w:r>
              <w:t>=0.064％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/>
              </w:rPr>
              <w:t>k</w:t>
            </w:r>
            <w:r>
              <w:rPr>
                <w:rFonts w:hint="eastAsia"/>
              </w:rPr>
              <w:t>=</w:t>
            </w:r>
            <w: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position w:val="-3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42.3pt;width:152.8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确认人员：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王秀丽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日期：202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.2.2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7" w:type="dxa"/>
            <w:gridSpan w:val="8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5401" w:type="dxa"/>
            <w:gridSpan w:val="4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   更   内   容</w:t>
            </w:r>
          </w:p>
        </w:tc>
        <w:tc>
          <w:tcPr>
            <w:tcW w:w="3192" w:type="dxa"/>
            <w:gridSpan w:val="3"/>
          </w:tcPr>
          <w:p>
            <w:pPr>
              <w:spacing w:line="420" w:lineRule="exact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1" w:type="dxa"/>
            <w:gridSpan w:val="4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2" w:type="dxa"/>
            <w:gridSpan w:val="3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ind w:firstLine="2951" w:firstLineChars="1050"/>
        <w:rPr>
          <w:rFonts w:hint="eastAsia" w:asci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测量过程有效性确认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表</w:t>
      </w:r>
    </w:p>
    <w:p>
      <w:pPr>
        <w:spacing w:line="4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24B76"/>
    <w:rsid w:val="00033738"/>
    <w:rsid w:val="00085035"/>
    <w:rsid w:val="000A31E5"/>
    <w:rsid w:val="000A78EE"/>
    <w:rsid w:val="000E64D5"/>
    <w:rsid w:val="00155CCF"/>
    <w:rsid w:val="0019548E"/>
    <w:rsid w:val="00242719"/>
    <w:rsid w:val="002706E8"/>
    <w:rsid w:val="002769A3"/>
    <w:rsid w:val="00285C9B"/>
    <w:rsid w:val="002C1369"/>
    <w:rsid w:val="002C4A34"/>
    <w:rsid w:val="00327686"/>
    <w:rsid w:val="003752B0"/>
    <w:rsid w:val="0038590B"/>
    <w:rsid w:val="003A40E6"/>
    <w:rsid w:val="003C5179"/>
    <w:rsid w:val="003D394F"/>
    <w:rsid w:val="004372F5"/>
    <w:rsid w:val="00462C30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C0ED0"/>
    <w:rsid w:val="005D10F0"/>
    <w:rsid w:val="005F2E7A"/>
    <w:rsid w:val="006245B9"/>
    <w:rsid w:val="00632D2A"/>
    <w:rsid w:val="00664C7E"/>
    <w:rsid w:val="006B4C2F"/>
    <w:rsid w:val="006C46E7"/>
    <w:rsid w:val="006D2339"/>
    <w:rsid w:val="00712B77"/>
    <w:rsid w:val="00756D95"/>
    <w:rsid w:val="007C3D73"/>
    <w:rsid w:val="007C70B9"/>
    <w:rsid w:val="0080081B"/>
    <w:rsid w:val="00860C7C"/>
    <w:rsid w:val="008A0DD7"/>
    <w:rsid w:val="00990523"/>
    <w:rsid w:val="009F4E1A"/>
    <w:rsid w:val="009F7572"/>
    <w:rsid w:val="00A00624"/>
    <w:rsid w:val="00A04902"/>
    <w:rsid w:val="00A36CBF"/>
    <w:rsid w:val="00A67C41"/>
    <w:rsid w:val="00A76DE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D33312"/>
    <w:rsid w:val="00D6253A"/>
    <w:rsid w:val="00D62672"/>
    <w:rsid w:val="00D64B35"/>
    <w:rsid w:val="00DB5B6C"/>
    <w:rsid w:val="00DC3A00"/>
    <w:rsid w:val="00E174D8"/>
    <w:rsid w:val="00E46334"/>
    <w:rsid w:val="00E90CF8"/>
    <w:rsid w:val="00EA755A"/>
    <w:rsid w:val="00EF6280"/>
    <w:rsid w:val="00F17418"/>
    <w:rsid w:val="00F20BD2"/>
    <w:rsid w:val="00F56595"/>
    <w:rsid w:val="00F7042C"/>
    <w:rsid w:val="00F77A09"/>
    <w:rsid w:val="00FF0DB2"/>
    <w:rsid w:val="00FF7566"/>
    <w:rsid w:val="02325D64"/>
    <w:rsid w:val="024C7741"/>
    <w:rsid w:val="02D77D14"/>
    <w:rsid w:val="04224952"/>
    <w:rsid w:val="04D93111"/>
    <w:rsid w:val="05044B86"/>
    <w:rsid w:val="05BC1575"/>
    <w:rsid w:val="064938E7"/>
    <w:rsid w:val="06A03B6E"/>
    <w:rsid w:val="0799422E"/>
    <w:rsid w:val="099C5A6F"/>
    <w:rsid w:val="09C2159D"/>
    <w:rsid w:val="09E20BCB"/>
    <w:rsid w:val="0A197658"/>
    <w:rsid w:val="0A7D22C2"/>
    <w:rsid w:val="0AD65606"/>
    <w:rsid w:val="0B5D0746"/>
    <w:rsid w:val="0C225602"/>
    <w:rsid w:val="0C303532"/>
    <w:rsid w:val="0C573F61"/>
    <w:rsid w:val="0C7B4517"/>
    <w:rsid w:val="0EA308FB"/>
    <w:rsid w:val="0EDA7075"/>
    <w:rsid w:val="0F0E0109"/>
    <w:rsid w:val="0FA8224E"/>
    <w:rsid w:val="0FC22D69"/>
    <w:rsid w:val="10015F7B"/>
    <w:rsid w:val="109201E8"/>
    <w:rsid w:val="10D97158"/>
    <w:rsid w:val="115B271F"/>
    <w:rsid w:val="122032BB"/>
    <w:rsid w:val="12A25622"/>
    <w:rsid w:val="12C063C8"/>
    <w:rsid w:val="135A7270"/>
    <w:rsid w:val="13693D20"/>
    <w:rsid w:val="137E3F81"/>
    <w:rsid w:val="13B22B44"/>
    <w:rsid w:val="13BB294B"/>
    <w:rsid w:val="13ED7D4F"/>
    <w:rsid w:val="146B360F"/>
    <w:rsid w:val="146F541C"/>
    <w:rsid w:val="150A6223"/>
    <w:rsid w:val="159B509E"/>
    <w:rsid w:val="1696186D"/>
    <w:rsid w:val="16A60E19"/>
    <w:rsid w:val="17082EC9"/>
    <w:rsid w:val="179103D7"/>
    <w:rsid w:val="18315BA1"/>
    <w:rsid w:val="18C129CC"/>
    <w:rsid w:val="191C6964"/>
    <w:rsid w:val="19245FF0"/>
    <w:rsid w:val="194A5020"/>
    <w:rsid w:val="19C16D72"/>
    <w:rsid w:val="1AC00ACD"/>
    <w:rsid w:val="1B9003E9"/>
    <w:rsid w:val="1B950FF0"/>
    <w:rsid w:val="1CDF0111"/>
    <w:rsid w:val="1D0D24AE"/>
    <w:rsid w:val="1D6C4CA0"/>
    <w:rsid w:val="1D9044D9"/>
    <w:rsid w:val="1EE64F1E"/>
    <w:rsid w:val="1F6A03C2"/>
    <w:rsid w:val="1F937E70"/>
    <w:rsid w:val="20072A16"/>
    <w:rsid w:val="202136E5"/>
    <w:rsid w:val="20A129D4"/>
    <w:rsid w:val="230B4048"/>
    <w:rsid w:val="233F79A7"/>
    <w:rsid w:val="24017098"/>
    <w:rsid w:val="24BC1FCC"/>
    <w:rsid w:val="250F0915"/>
    <w:rsid w:val="262040D8"/>
    <w:rsid w:val="26556FB0"/>
    <w:rsid w:val="26886015"/>
    <w:rsid w:val="26DF507F"/>
    <w:rsid w:val="27A87908"/>
    <w:rsid w:val="27CC0946"/>
    <w:rsid w:val="2869054C"/>
    <w:rsid w:val="287053EF"/>
    <w:rsid w:val="287C6B79"/>
    <w:rsid w:val="2932661F"/>
    <w:rsid w:val="2A3B7C3D"/>
    <w:rsid w:val="2AB60244"/>
    <w:rsid w:val="2B027DAA"/>
    <w:rsid w:val="2B377356"/>
    <w:rsid w:val="2B475B73"/>
    <w:rsid w:val="2BB3354E"/>
    <w:rsid w:val="2BDF20D4"/>
    <w:rsid w:val="2C107693"/>
    <w:rsid w:val="2C703024"/>
    <w:rsid w:val="2CA349A5"/>
    <w:rsid w:val="2CFA7E46"/>
    <w:rsid w:val="2D0F4C79"/>
    <w:rsid w:val="2E974544"/>
    <w:rsid w:val="2E9D2F63"/>
    <w:rsid w:val="2EB85A5B"/>
    <w:rsid w:val="30C04AAF"/>
    <w:rsid w:val="310B69B0"/>
    <w:rsid w:val="31476007"/>
    <w:rsid w:val="314F4923"/>
    <w:rsid w:val="3163198C"/>
    <w:rsid w:val="3287470F"/>
    <w:rsid w:val="32FA3A10"/>
    <w:rsid w:val="331049B2"/>
    <w:rsid w:val="33B37620"/>
    <w:rsid w:val="33B92A98"/>
    <w:rsid w:val="33BB7FB6"/>
    <w:rsid w:val="33C563E7"/>
    <w:rsid w:val="34476D06"/>
    <w:rsid w:val="367768CE"/>
    <w:rsid w:val="36CE5DCC"/>
    <w:rsid w:val="36DA5011"/>
    <w:rsid w:val="37043E05"/>
    <w:rsid w:val="374A0880"/>
    <w:rsid w:val="37DF56DE"/>
    <w:rsid w:val="38244CB6"/>
    <w:rsid w:val="390267AB"/>
    <w:rsid w:val="3A4912D2"/>
    <w:rsid w:val="3A66475D"/>
    <w:rsid w:val="3B1B39AA"/>
    <w:rsid w:val="3B1C7502"/>
    <w:rsid w:val="3C6B465F"/>
    <w:rsid w:val="3CCE6492"/>
    <w:rsid w:val="3D2E14F2"/>
    <w:rsid w:val="3D484CA3"/>
    <w:rsid w:val="3D525582"/>
    <w:rsid w:val="3D6A069B"/>
    <w:rsid w:val="3E081277"/>
    <w:rsid w:val="3EC16F05"/>
    <w:rsid w:val="3F2A4FD2"/>
    <w:rsid w:val="3F471778"/>
    <w:rsid w:val="3F806725"/>
    <w:rsid w:val="3FF534ED"/>
    <w:rsid w:val="404F61FB"/>
    <w:rsid w:val="41590526"/>
    <w:rsid w:val="42066F44"/>
    <w:rsid w:val="424F0313"/>
    <w:rsid w:val="42577C97"/>
    <w:rsid w:val="43176F78"/>
    <w:rsid w:val="432064FC"/>
    <w:rsid w:val="43835F4B"/>
    <w:rsid w:val="45002A74"/>
    <w:rsid w:val="460F18F6"/>
    <w:rsid w:val="46855F64"/>
    <w:rsid w:val="4692782C"/>
    <w:rsid w:val="46B4589D"/>
    <w:rsid w:val="46F807B8"/>
    <w:rsid w:val="488C1F01"/>
    <w:rsid w:val="490E1760"/>
    <w:rsid w:val="494250D6"/>
    <w:rsid w:val="49574B9E"/>
    <w:rsid w:val="49E8004D"/>
    <w:rsid w:val="4A6A2A1C"/>
    <w:rsid w:val="4AD2551D"/>
    <w:rsid w:val="4B233CA6"/>
    <w:rsid w:val="4B49653C"/>
    <w:rsid w:val="4B9B2BC6"/>
    <w:rsid w:val="4BF83A28"/>
    <w:rsid w:val="4C3D3351"/>
    <w:rsid w:val="4C6A5F7E"/>
    <w:rsid w:val="4D047318"/>
    <w:rsid w:val="4DD72C9A"/>
    <w:rsid w:val="504744BB"/>
    <w:rsid w:val="50644DC8"/>
    <w:rsid w:val="51774686"/>
    <w:rsid w:val="51F94D14"/>
    <w:rsid w:val="521B3063"/>
    <w:rsid w:val="524E35CE"/>
    <w:rsid w:val="536E4ECD"/>
    <w:rsid w:val="53890E31"/>
    <w:rsid w:val="53B243B2"/>
    <w:rsid w:val="54D309E1"/>
    <w:rsid w:val="54E74B4C"/>
    <w:rsid w:val="5603500E"/>
    <w:rsid w:val="563F2E54"/>
    <w:rsid w:val="564A21A0"/>
    <w:rsid w:val="568409D3"/>
    <w:rsid w:val="56C3440A"/>
    <w:rsid w:val="57281740"/>
    <w:rsid w:val="57585509"/>
    <w:rsid w:val="57A76121"/>
    <w:rsid w:val="57C410E6"/>
    <w:rsid w:val="57F15CFC"/>
    <w:rsid w:val="57FF67F1"/>
    <w:rsid w:val="5830631C"/>
    <w:rsid w:val="59B81153"/>
    <w:rsid w:val="5A5A32AC"/>
    <w:rsid w:val="5AD429F6"/>
    <w:rsid w:val="5B136EE8"/>
    <w:rsid w:val="5B9108EE"/>
    <w:rsid w:val="5BF14729"/>
    <w:rsid w:val="5CBD7248"/>
    <w:rsid w:val="5CFE24F2"/>
    <w:rsid w:val="5D152628"/>
    <w:rsid w:val="5D1702B6"/>
    <w:rsid w:val="5D2151D5"/>
    <w:rsid w:val="5D57252F"/>
    <w:rsid w:val="5D992AD7"/>
    <w:rsid w:val="5DBE0FDB"/>
    <w:rsid w:val="5DF228D3"/>
    <w:rsid w:val="5E171D55"/>
    <w:rsid w:val="5F56356A"/>
    <w:rsid w:val="60470FCB"/>
    <w:rsid w:val="60777668"/>
    <w:rsid w:val="61565998"/>
    <w:rsid w:val="61CD0934"/>
    <w:rsid w:val="61FF7805"/>
    <w:rsid w:val="62000BDD"/>
    <w:rsid w:val="62342C28"/>
    <w:rsid w:val="62A050EF"/>
    <w:rsid w:val="62ED4D01"/>
    <w:rsid w:val="63D95CA4"/>
    <w:rsid w:val="64153D54"/>
    <w:rsid w:val="645208B8"/>
    <w:rsid w:val="64C146C2"/>
    <w:rsid w:val="64DF1110"/>
    <w:rsid w:val="65F568F6"/>
    <w:rsid w:val="674A0590"/>
    <w:rsid w:val="67815494"/>
    <w:rsid w:val="67CC36DF"/>
    <w:rsid w:val="68357BAA"/>
    <w:rsid w:val="689723BA"/>
    <w:rsid w:val="68C64E14"/>
    <w:rsid w:val="68CA2342"/>
    <w:rsid w:val="68F420E6"/>
    <w:rsid w:val="69277FA1"/>
    <w:rsid w:val="69783BFF"/>
    <w:rsid w:val="69C95210"/>
    <w:rsid w:val="6A6C3816"/>
    <w:rsid w:val="6ADD7E6C"/>
    <w:rsid w:val="6AE129BD"/>
    <w:rsid w:val="6B145DF1"/>
    <w:rsid w:val="6B920F06"/>
    <w:rsid w:val="6BC06CE5"/>
    <w:rsid w:val="6C14402D"/>
    <w:rsid w:val="6C194AEB"/>
    <w:rsid w:val="6D051D75"/>
    <w:rsid w:val="6D8C473A"/>
    <w:rsid w:val="6EA27228"/>
    <w:rsid w:val="6EF25E07"/>
    <w:rsid w:val="6F944730"/>
    <w:rsid w:val="6FC96589"/>
    <w:rsid w:val="6FED0A0F"/>
    <w:rsid w:val="6FFE6C59"/>
    <w:rsid w:val="7023153C"/>
    <w:rsid w:val="702B00C5"/>
    <w:rsid w:val="703004A1"/>
    <w:rsid w:val="703B1A5D"/>
    <w:rsid w:val="70536AB8"/>
    <w:rsid w:val="70982F89"/>
    <w:rsid w:val="713D1621"/>
    <w:rsid w:val="719C6DAE"/>
    <w:rsid w:val="722E6DB0"/>
    <w:rsid w:val="728F0E48"/>
    <w:rsid w:val="73007668"/>
    <w:rsid w:val="73182C21"/>
    <w:rsid w:val="73DF4F29"/>
    <w:rsid w:val="74290083"/>
    <w:rsid w:val="74361C5D"/>
    <w:rsid w:val="74364E8B"/>
    <w:rsid w:val="74560E58"/>
    <w:rsid w:val="74EE34DD"/>
    <w:rsid w:val="755547BE"/>
    <w:rsid w:val="765E6D31"/>
    <w:rsid w:val="76891A37"/>
    <w:rsid w:val="76A50D09"/>
    <w:rsid w:val="76CA3827"/>
    <w:rsid w:val="78291146"/>
    <w:rsid w:val="78335AEC"/>
    <w:rsid w:val="79041122"/>
    <w:rsid w:val="793A3CF5"/>
    <w:rsid w:val="795B1D3E"/>
    <w:rsid w:val="79607E1E"/>
    <w:rsid w:val="7976134F"/>
    <w:rsid w:val="799F7A5F"/>
    <w:rsid w:val="79D806FA"/>
    <w:rsid w:val="79F304F2"/>
    <w:rsid w:val="7A323221"/>
    <w:rsid w:val="7A3F7C3D"/>
    <w:rsid w:val="7B3613A3"/>
    <w:rsid w:val="7B9176E8"/>
    <w:rsid w:val="7BD95CAB"/>
    <w:rsid w:val="7C321D7E"/>
    <w:rsid w:val="7CBB6F34"/>
    <w:rsid w:val="7CEC309A"/>
    <w:rsid w:val="7D1A5B83"/>
    <w:rsid w:val="7D243315"/>
    <w:rsid w:val="7DAC55A9"/>
    <w:rsid w:val="7DC26700"/>
    <w:rsid w:val="7DCC6D00"/>
    <w:rsid w:val="7E063450"/>
    <w:rsid w:val="7E197F67"/>
    <w:rsid w:val="7E447BE6"/>
    <w:rsid w:val="7E7C42E1"/>
    <w:rsid w:val="7E894392"/>
    <w:rsid w:val="7FA07C6B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120</Words>
  <Characters>687</Characters>
  <Lines>5</Lines>
  <Paragraphs>1</Paragraphs>
  <TotalTime>9</TotalTime>
  <ScaleCrop>false</ScaleCrop>
  <LinksUpToDate>false</LinksUpToDate>
  <CharactersWithSpaces>806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2021-03-15T06:58:44Z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