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0046-2020-2021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山东鲁正电子有限公司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2021年03月15日 上午至2021年03月15日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6D1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84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2021-03-15T07:56:25Z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