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84"/>
          <w:szCs w:val="84"/>
        </w:rPr>
      </w:pPr>
      <w:r>
        <w:rPr>
          <w:rFonts w:hint="eastAsia" w:ascii="宋体" w:hAnsi="宋体"/>
          <w:sz w:val="18"/>
        </w:rPr>
        <w:t xml:space="preserve"> </w:t>
      </w:r>
      <w:r>
        <w:rPr>
          <w:rFonts w:hint="eastAsia" w:ascii="宋体" w:hAnsi="宋体"/>
          <w:b/>
          <w:bCs/>
          <w:sz w:val="24"/>
          <w:szCs w:val="24"/>
        </w:rPr>
        <w:t>编  号：</w:t>
      </w:r>
      <w:bookmarkStart w:id="0" w:name="合同编号"/>
      <w:r>
        <w:rPr>
          <w:b/>
          <w:bCs/>
          <w:sz w:val="24"/>
          <w:szCs w:val="24"/>
        </w:rPr>
        <w:t>0130-2021-Q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四川省浪樱照明工程有限公司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19.12.00,29.12.00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黑体" w:hAnsi="黑体" w:eastAsia="黑体" w:cs="黑体"/>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四川省浪樱照明工程有限公司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成都市武侯区武侯新城管委会武青南路 51 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生产地址"/>
            <w:r>
              <w:rPr>
                <w:color w:val="FF0000"/>
              </w:rPr>
              <w:t>新都区斑竹园镇鸦雀口社区正方路 50 号</w:t>
            </w:r>
            <w:bookmarkEnd w:id="10"/>
            <w:bookmarkStart w:id="23" w:name="_GoBack"/>
            <w:bookmarkEnd w:id="23"/>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王瑞</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18829841889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张格</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张毅</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王爽</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道路及街道照明灯具、信号灯具的生产（有许可要求的除外）及 销售，高低压配电系统设备、路灯智能控制系统设备的销售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19.12.00;29.12.00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黑体" w:hAnsi="黑体" w:eastAsia="黑体" w:cs="黑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b/>
                <w:color w:val="auto"/>
                <w:kern w:val="2"/>
                <w:sz w:val="20"/>
                <w:szCs w:val="20"/>
                <w:lang w:val="en-US" w:eastAsia="zh-CN" w:bidi="ar-SA"/>
              </w:rPr>
              <w:t>总经办</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b/>
                <w:color w:val="auto"/>
                <w:sz w:val="20"/>
                <w:szCs w:val="20"/>
                <w:lang w:val="en-US" w:eastAsia="zh-CN"/>
              </w:rPr>
              <w:t>生产技术部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auto"/>
                <w:sz w:val="20"/>
                <w:szCs w:val="20"/>
              </w:rPr>
              <w:t>不合格品控制；纠正和预防措施控制；策划管理；服务过程管理；设备设施管理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cs="Times New Roman"/>
                <w:b/>
                <w:color w:val="auto"/>
                <w:sz w:val="20"/>
                <w:szCs w:val="20"/>
                <w:lang w:val="en-US" w:eastAsia="zh-CN"/>
              </w:rPr>
              <w:t>市场部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ascii="宋体" w:hAnsi="宋体" w:cs="宋体"/>
                <w:color w:val="000000"/>
                <w:kern w:val="0"/>
                <w:szCs w:val="21"/>
              </w:rPr>
              <w:t>道路及街道照明灯具、信号灯具的生产（有许可要求的除外）</w:t>
            </w:r>
            <w:r>
              <w:rPr>
                <w:rFonts w:hint="eastAsia" w:ascii="宋体" w:hAnsi="宋体" w:cs="宋体"/>
                <w:color w:val="000000"/>
                <w:kern w:val="0"/>
                <w:szCs w:val="21"/>
                <w:lang w:eastAsia="zh-CN"/>
              </w:rPr>
              <w:t>。</w:t>
            </w:r>
          </w:p>
        </w:tc>
        <w:tc>
          <w:tcPr>
            <w:tcW w:w="2519" w:type="dxa"/>
          </w:tcPr>
          <w:p>
            <w:pPr>
              <w:rPr>
                <w:b/>
                <w:color w:val="000000" w:themeColor="text1"/>
                <w:sz w:val="20"/>
                <w:szCs w:val="20"/>
              </w:rPr>
            </w:pPr>
            <w:r>
              <w:rPr>
                <w:rFonts w:ascii="宋体" w:hAnsi="宋体" w:cs="宋体"/>
                <w:color w:val="000000"/>
                <w:kern w:val="0"/>
                <w:szCs w:val="21"/>
              </w:rPr>
              <w:t>高低压配电系统设备、路灯智能控制系统设备的销售</w:t>
            </w: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rFonts w:hint="eastAsia" w:ascii="宋体" w:hAnsi="宋体"/>
                <w:sz w:val="21"/>
                <w:szCs w:val="21"/>
                <w:highlight w:val="none"/>
              </w:rPr>
              <w:t>《钢制管法兰、垫片、紧固件  HG/T20592-20635-2009》</w:t>
            </w:r>
            <w:r>
              <w:rPr>
                <w:rFonts w:hint="eastAsia" w:ascii="宋体" w:hAnsi="宋体"/>
                <w:sz w:val="21"/>
                <w:szCs w:val="21"/>
                <w:highlight w:val="none"/>
                <w:lang w:eastAsia="zh-CN"/>
              </w:rPr>
              <w:t>、《</w:t>
            </w:r>
            <w:r>
              <w:rPr>
                <w:rFonts w:hint="eastAsia" w:ascii="宋体" w:hAnsi="宋体"/>
                <w:sz w:val="21"/>
                <w:szCs w:val="21"/>
                <w:highlight w:val="none"/>
              </w:rPr>
              <w:t>一般公差 未注公差的线性和角度尺寸的公差GB/T 1804-2000</w:t>
            </w:r>
            <w:r>
              <w:rPr>
                <w:rFonts w:hint="eastAsia" w:ascii="宋体" w:hAnsi="宋体"/>
                <w:sz w:val="21"/>
                <w:szCs w:val="21"/>
                <w:highlight w:val="none"/>
                <w:lang w:eastAsia="zh-CN"/>
              </w:rPr>
              <w:t>》、</w:t>
            </w:r>
            <w:r>
              <w:rPr>
                <w:rFonts w:hint="eastAsia" w:ascii="宋体" w:hAnsi="宋体"/>
                <w:sz w:val="21"/>
                <w:szCs w:val="21"/>
                <w:highlight w:val="none"/>
              </w:rPr>
              <w:t>《道路与街路照明灯具性能要求》GB/T 24827-2015</w:t>
            </w:r>
            <w:r>
              <w:rPr>
                <w:rFonts w:hint="eastAsia" w:ascii="宋体" w:hAnsi="宋体"/>
                <w:sz w:val="21"/>
                <w:szCs w:val="21"/>
                <w:highlight w:val="none"/>
                <w:lang w:eastAsia="zh-CN"/>
              </w:rPr>
              <w:t>、</w:t>
            </w:r>
            <w:r>
              <w:rPr>
                <w:rFonts w:hint="eastAsia" w:ascii="宋体" w:hAnsi="宋体"/>
                <w:sz w:val="21"/>
                <w:szCs w:val="21"/>
                <w:highlight w:val="none"/>
              </w:rPr>
              <w:t>《灯杆 第1部分：一般要求》QB/T 5093.1-2017</w:t>
            </w:r>
            <w:r>
              <w:rPr>
                <w:rFonts w:hint="eastAsia" w:ascii="宋体" w:hAnsi="宋体"/>
                <w:sz w:val="21"/>
                <w:szCs w:val="21"/>
                <w:highlight w:val="none"/>
                <w:lang w:eastAsia="zh-CN"/>
              </w:rPr>
              <w:t>、</w:t>
            </w:r>
            <w:r>
              <w:rPr>
                <w:rFonts w:hint="eastAsia" w:ascii="宋体" w:hAnsi="宋体"/>
                <w:sz w:val="21"/>
                <w:szCs w:val="21"/>
                <w:highlight w:val="none"/>
              </w:rPr>
              <w:t>《灯杆 第2部分：钢质灯杆》QB/T 5093.2-2017</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lang w:val="en-US" w:eastAsia="zh-CN"/>
              </w:rPr>
            </w:pP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numPr>
                <w:ilvl w:val="0"/>
                <w:numId w:val="0"/>
              </w:numPr>
              <w:spacing w:line="240" w:lineRule="exact"/>
              <w:rPr>
                <w:rFonts w:hint="default" w:eastAsia="宋体"/>
                <w:b/>
                <w:color w:val="000000" w:themeColor="text1"/>
                <w:sz w:val="20"/>
                <w:szCs w:val="20"/>
                <w:lang w:val="en-US" w:eastAsia="zh-CN"/>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质量为本、信誉至上，持续改进，争创一流，满足要求</w:t>
            </w:r>
            <w:r>
              <w:rPr>
                <w:rFonts w:hint="eastAsia" w:ascii="宋体" w:hAnsi="宋体" w:eastAsia="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lang w:val="en-US" w:eastAsia="zh-CN"/>
              </w:rPr>
            </w:pPr>
            <w:r>
              <w:rPr>
                <w:rFonts w:hint="eastAsia"/>
                <w:b/>
                <w:color w:val="000000" w:themeColor="text1"/>
                <w:lang w:val="en-US" w:eastAsia="zh-CN"/>
              </w:rPr>
              <w:t>4、</w:t>
            </w:r>
            <w:r>
              <w:rPr>
                <w:rFonts w:hint="eastAsia"/>
                <w:b/>
                <w:color w:val="000000" w:themeColor="text1"/>
              </w:rPr>
              <w:t>风险识别与控制策划（QMS）</w:t>
            </w:r>
            <w:r>
              <w:rPr>
                <w:rFonts w:hint="eastAsia"/>
                <w:b/>
                <w:color w:val="000000" w:themeColor="text1"/>
                <w:lang w:val="en-US" w:eastAsia="zh-CN"/>
              </w:rPr>
              <w:t xml:space="preserve">    </w:t>
            </w:r>
          </w:p>
          <w:p>
            <w:pPr>
              <w:numPr>
                <w:ilvl w:val="0"/>
                <w:numId w:val="0"/>
              </w:numPr>
              <w:spacing w:line="240" w:lineRule="exact"/>
              <w:ind w:leftChars="0"/>
              <w:rPr>
                <w:rFonts w:hint="default" w:eastAsia="宋体"/>
                <w:b/>
                <w:color w:val="000000" w:themeColor="text1"/>
                <w:lang w:val="en-US" w:eastAsia="zh-CN"/>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pStyle w:val="12"/>
              <w:rPr>
                <w:rFonts w:hint="eastAsia" w:ascii="宋体" w:hAnsi="宋体" w:eastAsia="宋体" w:cs="Times New Roman"/>
                <w:bCs w:val="0"/>
                <w:spacing w:val="0"/>
                <w:kern w:val="2"/>
                <w:sz w:val="21"/>
                <w:szCs w:val="21"/>
                <w:lang w:val="en-US" w:eastAsia="zh-CN" w:bidi="ar-SA"/>
              </w:rPr>
            </w:pPr>
            <w:r>
              <w:rPr>
                <w:rFonts w:hint="eastAsia" w:ascii="宋体" w:hAnsi="宋体"/>
                <w:b/>
                <w:color w:val="000000" w:themeColor="text1"/>
                <w:sz w:val="20"/>
                <w:szCs w:val="20"/>
              </w:rPr>
              <w:t>质量管理体系过程有：</w:t>
            </w:r>
            <w:r>
              <w:rPr>
                <w:rFonts w:hint="eastAsia" w:ascii="宋体" w:hAnsi="宋体" w:eastAsia="宋体" w:cs="Times New Roman"/>
                <w:bCs w:val="0"/>
                <w:spacing w:val="0"/>
                <w:kern w:val="2"/>
                <w:sz w:val="21"/>
                <w:szCs w:val="21"/>
                <w:lang w:val="en-US" w:eastAsia="zh-CN" w:bidi="ar-SA"/>
              </w:rPr>
              <w:t>灯杆加工工艺流程：</w:t>
            </w:r>
          </w:p>
          <w:p>
            <w:pPr>
              <w:widowControl/>
              <w:spacing w:line="400" w:lineRule="exact"/>
              <w:rPr>
                <w:rFonts w:hint="eastAsia" w:ascii="宋体" w:hAnsi="宋体" w:cs="Times New Roman"/>
                <w:sz w:val="21"/>
                <w:szCs w:val="21"/>
              </w:rPr>
            </w:pPr>
            <w:r>
              <w:rPr>
                <w:rFonts w:hint="eastAsia" w:ascii="宋体" w:hAnsi="宋体" w:cs="Times New Roman"/>
                <w:sz w:val="21"/>
                <w:szCs w:val="21"/>
                <w:lang w:val="en-US" w:eastAsia="zh-CN"/>
              </w:rPr>
              <w:t>下料--折弯成型--焊接--打磨--喷涂--包装入库。</w:t>
            </w:r>
          </w:p>
          <w:p>
            <w:pPr>
              <w:pStyle w:val="3"/>
              <w:spacing w:line="360" w:lineRule="auto"/>
              <w:rPr>
                <w:rFonts w:hint="default" w:ascii="宋体" w:hAnsi="宋体" w:cs="Times New Roman"/>
                <w:color w:val="auto"/>
                <w:sz w:val="21"/>
                <w:szCs w:val="21"/>
                <w:lang w:val="en-US" w:eastAsia="zh-CN"/>
              </w:rPr>
            </w:pPr>
            <w:r>
              <w:rPr>
                <w:rFonts w:hint="eastAsia" w:ascii="宋体" w:hAnsi="宋体"/>
                <w:color w:val="auto"/>
                <w:sz w:val="21"/>
                <w:szCs w:val="21"/>
              </w:rPr>
              <w:t>关键</w:t>
            </w:r>
            <w:r>
              <w:rPr>
                <w:rFonts w:hint="eastAsia" w:ascii="宋体" w:hAnsi="宋体"/>
                <w:color w:val="auto"/>
                <w:sz w:val="21"/>
                <w:szCs w:val="21"/>
                <w:lang w:val="en-US" w:eastAsia="zh-CN"/>
              </w:rPr>
              <w:t>/确认</w:t>
            </w:r>
            <w:r>
              <w:rPr>
                <w:rFonts w:hint="eastAsia" w:ascii="宋体" w:hAnsi="宋体"/>
                <w:color w:val="auto"/>
                <w:sz w:val="21"/>
                <w:szCs w:val="21"/>
              </w:rPr>
              <w:t>过程</w:t>
            </w:r>
            <w:r>
              <w:rPr>
                <w:rFonts w:hint="eastAsia" w:ascii="宋体" w:hAnsi="宋体" w:cs="Times New Roman"/>
                <w:color w:val="auto"/>
                <w:sz w:val="21"/>
                <w:szCs w:val="21"/>
              </w:rPr>
              <w:t>：</w:t>
            </w:r>
            <w:r>
              <w:rPr>
                <w:rFonts w:hint="eastAsia" w:ascii="宋体" w:hAnsi="宋体" w:cs="Times New Roman"/>
                <w:color w:val="auto"/>
                <w:sz w:val="21"/>
                <w:szCs w:val="21"/>
                <w:lang w:eastAsia="zh-CN"/>
              </w:rPr>
              <w:t>焊接过程、</w:t>
            </w:r>
            <w:r>
              <w:rPr>
                <w:rFonts w:hint="eastAsia" w:ascii="宋体" w:hAnsi="宋体" w:cs="Times New Roman"/>
                <w:color w:val="auto"/>
                <w:sz w:val="21"/>
                <w:szCs w:val="21"/>
                <w:lang w:val="en-US" w:eastAsia="zh-CN"/>
              </w:rPr>
              <w:t>喷涂</w:t>
            </w:r>
            <w:r>
              <w:rPr>
                <w:rFonts w:hint="eastAsia" w:ascii="宋体" w:hAnsi="宋体" w:cs="Times New Roman"/>
                <w:color w:val="auto"/>
                <w:sz w:val="21"/>
                <w:szCs w:val="21"/>
                <w:lang w:eastAsia="zh-CN"/>
              </w:rPr>
              <w:t>过程。</w:t>
            </w:r>
            <w:r>
              <w:rPr>
                <w:rFonts w:hint="eastAsia" w:ascii="宋体" w:hAnsi="宋体" w:cs="Times New Roman"/>
                <w:color w:val="auto"/>
                <w:sz w:val="21"/>
                <w:szCs w:val="21"/>
                <w:lang w:val="en-US" w:eastAsia="zh-CN"/>
              </w:rPr>
              <w:t>也是特殊过程。</w:t>
            </w:r>
          </w:p>
          <w:p>
            <w:pPr>
              <w:widowControl/>
              <w:spacing w:line="400" w:lineRule="exact"/>
              <w:rPr>
                <w:rFonts w:hint="eastAsia" w:ascii="宋体" w:hAnsi="宋体" w:cs="Times New Roman"/>
                <w:sz w:val="21"/>
                <w:szCs w:val="21"/>
              </w:rPr>
            </w:pPr>
            <w:r>
              <w:rPr>
                <w:rFonts w:hint="eastAsia" w:ascii="宋体" w:hAnsi="宋体" w:cs="Times New Roman"/>
                <w:sz w:val="21"/>
                <w:szCs w:val="21"/>
                <w:lang w:eastAsia="zh-CN"/>
              </w:rPr>
              <w:t>灯</w:t>
            </w:r>
            <w:r>
              <w:rPr>
                <w:rFonts w:hint="eastAsia" w:ascii="宋体" w:hAnsi="宋体" w:cs="Times New Roman"/>
                <w:sz w:val="21"/>
                <w:szCs w:val="21"/>
                <w:lang w:val="en-US" w:eastAsia="zh-CN"/>
              </w:rPr>
              <w:t>罩</w:t>
            </w:r>
            <w:r>
              <w:rPr>
                <w:rFonts w:hint="eastAsia" w:ascii="宋体" w:hAnsi="宋体"/>
                <w:szCs w:val="21"/>
                <w:lang w:val="en-US" w:eastAsia="zh-CN"/>
              </w:rPr>
              <w:t>加工</w:t>
            </w:r>
            <w:r>
              <w:rPr>
                <w:rFonts w:hint="eastAsia" w:ascii="宋体" w:hAnsi="宋体" w:cs="Times New Roman"/>
                <w:sz w:val="21"/>
                <w:szCs w:val="21"/>
              </w:rPr>
              <w:t>工艺流程：</w:t>
            </w:r>
          </w:p>
          <w:p>
            <w:pPr>
              <w:widowControl/>
              <w:spacing w:line="400" w:lineRule="exact"/>
              <w:rPr>
                <w:rFonts w:hint="eastAsia" w:ascii="宋体" w:hAnsi="宋体" w:cs="Times New Roman"/>
                <w:sz w:val="21"/>
                <w:szCs w:val="21"/>
              </w:rPr>
            </w:pPr>
            <w:r>
              <w:rPr>
                <w:rFonts w:hint="eastAsia" w:ascii="宋体" w:hAnsi="宋体" w:cs="Times New Roman"/>
                <w:sz w:val="21"/>
                <w:szCs w:val="21"/>
                <w:lang w:val="en-US" w:eastAsia="zh-CN"/>
              </w:rPr>
              <w:t>原料配比--注塑成型--修边、检验--包装入库</w:t>
            </w:r>
            <w:r>
              <w:rPr>
                <w:rFonts w:hint="eastAsia" w:ascii="宋体" w:hAnsi="宋体" w:cs="Times New Roman"/>
                <w:sz w:val="21"/>
                <w:szCs w:val="21"/>
              </w:rPr>
              <w:t>；</w:t>
            </w:r>
          </w:p>
          <w:p>
            <w:pPr>
              <w:pStyle w:val="3"/>
              <w:spacing w:line="360" w:lineRule="auto"/>
              <w:rPr>
                <w:rFonts w:hint="default" w:ascii="宋体" w:hAnsi="宋体" w:cs="Times New Roman"/>
                <w:color w:val="auto"/>
                <w:sz w:val="21"/>
                <w:szCs w:val="21"/>
                <w:lang w:val="en-US" w:eastAsia="zh-CN"/>
              </w:rPr>
            </w:pPr>
            <w:r>
              <w:rPr>
                <w:rFonts w:hint="eastAsia" w:ascii="宋体" w:hAnsi="宋体"/>
                <w:color w:val="auto"/>
                <w:sz w:val="21"/>
                <w:szCs w:val="21"/>
              </w:rPr>
              <w:t>关键</w:t>
            </w:r>
            <w:r>
              <w:rPr>
                <w:rFonts w:hint="eastAsia" w:ascii="宋体" w:hAnsi="宋体"/>
                <w:color w:val="auto"/>
                <w:sz w:val="21"/>
                <w:szCs w:val="21"/>
                <w:lang w:val="en-US" w:eastAsia="zh-CN"/>
              </w:rPr>
              <w:t>/确认</w:t>
            </w:r>
            <w:r>
              <w:rPr>
                <w:rFonts w:hint="eastAsia" w:ascii="宋体" w:hAnsi="宋体"/>
                <w:color w:val="auto"/>
                <w:sz w:val="21"/>
                <w:szCs w:val="21"/>
              </w:rPr>
              <w:t>过程</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注塑</w:t>
            </w:r>
            <w:r>
              <w:rPr>
                <w:rFonts w:hint="eastAsia" w:ascii="宋体" w:hAnsi="宋体" w:cs="Times New Roman"/>
                <w:color w:val="auto"/>
                <w:sz w:val="21"/>
                <w:szCs w:val="21"/>
                <w:lang w:eastAsia="zh-CN"/>
              </w:rPr>
              <w:t>过程。</w:t>
            </w:r>
            <w:r>
              <w:rPr>
                <w:rFonts w:hint="eastAsia" w:ascii="宋体" w:hAnsi="宋体" w:cs="Times New Roman"/>
                <w:color w:val="auto"/>
                <w:sz w:val="21"/>
                <w:szCs w:val="21"/>
                <w:lang w:val="en-US" w:eastAsia="zh-CN"/>
              </w:rPr>
              <w:t>也是特殊过程。</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val="en-US" w:eastAsia="zh-CN"/>
              </w:rPr>
              <w:t>产品</w:t>
            </w:r>
            <w:r>
              <w:rPr>
                <w:rFonts w:hint="eastAsia" w:ascii="宋体" w:hAnsi="宋体" w:cs="Times New Roman"/>
                <w:sz w:val="21"/>
                <w:szCs w:val="21"/>
                <w:lang w:eastAsia="zh-CN"/>
              </w:rPr>
              <w:t>销售流程：</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签订合同→产品采购→产品交付→款项回收→售后维护。</w:t>
            </w:r>
          </w:p>
          <w:p>
            <w:pPr>
              <w:spacing w:line="400" w:lineRule="exact"/>
              <w:rPr>
                <w:rFonts w:ascii="宋体" w:hAnsi="宋体"/>
                <w:b/>
                <w:color w:val="000000" w:themeColor="text1"/>
                <w:sz w:val="20"/>
                <w:szCs w:val="20"/>
                <w:u w:val="single"/>
              </w:rPr>
            </w:pPr>
            <w:r>
              <w:rPr>
                <w:rFonts w:hint="eastAsia" w:ascii="宋体" w:hAnsi="宋体"/>
                <w:color w:val="auto"/>
                <w:sz w:val="21"/>
                <w:szCs w:val="21"/>
              </w:rPr>
              <w:t>关键</w:t>
            </w:r>
            <w:r>
              <w:rPr>
                <w:rFonts w:hint="eastAsia" w:ascii="宋体" w:hAnsi="宋体"/>
                <w:color w:val="auto"/>
                <w:sz w:val="21"/>
                <w:szCs w:val="21"/>
                <w:lang w:val="en-US" w:eastAsia="zh-CN"/>
              </w:rPr>
              <w:t>/确认</w:t>
            </w:r>
            <w:r>
              <w:rPr>
                <w:rFonts w:hint="eastAsia" w:ascii="宋体" w:hAnsi="宋体"/>
                <w:color w:val="auto"/>
                <w:sz w:val="21"/>
                <w:szCs w:val="21"/>
              </w:rPr>
              <w:t>过</w:t>
            </w:r>
            <w:r>
              <w:rPr>
                <w:rFonts w:hint="eastAsia" w:ascii="宋体" w:hAnsi="宋体" w:cs="Times New Roman"/>
                <w:sz w:val="21"/>
                <w:szCs w:val="21"/>
                <w:lang w:eastAsia="zh-CN"/>
              </w:rPr>
              <w:t>程：销售过程。</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eastAsia="宋体"/>
              </w:rPr>
              <w:t>公司不提供设计新</w:t>
            </w:r>
            <w:r>
              <w:rPr>
                <w:rFonts w:hint="eastAsia" w:ascii="宋体" w:hAnsi="宋体" w:eastAsia="宋体"/>
                <w:lang w:eastAsia="zh-CN"/>
              </w:rPr>
              <w:t>产品</w:t>
            </w:r>
            <w:r>
              <w:rPr>
                <w:rFonts w:hint="eastAsia" w:ascii="宋体" w:hAnsi="宋体" w:eastAsia="宋体"/>
              </w:rPr>
              <w:t>的要求。公司的产品按客户要求及国家相关法律法规和标准进行生产，</w:t>
            </w:r>
            <w:r>
              <w:rPr>
                <w:rFonts w:hint="eastAsia" w:ascii="宋体" w:hAnsi="宋体"/>
                <w:lang w:eastAsia="zh-CN"/>
              </w:rPr>
              <w:t>生产工艺成熟固定，整个生产过程</w:t>
            </w:r>
            <w:r>
              <w:rPr>
                <w:rFonts w:hint="eastAsia" w:ascii="宋体" w:hAnsi="宋体" w:eastAsia="宋体"/>
              </w:rPr>
              <w:t>不涉及</w:t>
            </w:r>
            <w:r>
              <w:rPr>
                <w:rFonts w:hint="eastAsia" w:ascii="宋体" w:hAnsi="宋体"/>
                <w:lang w:eastAsia="zh-CN"/>
              </w:rPr>
              <w:t>新产品的</w:t>
            </w:r>
            <w:r>
              <w:rPr>
                <w:rFonts w:hint="eastAsia" w:ascii="宋体" w:hAnsi="宋体" w:eastAsia="宋体"/>
              </w:rPr>
              <w:t>设计</w:t>
            </w:r>
            <w:r>
              <w:rPr>
                <w:rFonts w:hint="eastAsia" w:ascii="宋体" w:hAnsi="宋体"/>
                <w:lang w:eastAsia="zh-CN"/>
              </w:rPr>
              <w:t>开发</w:t>
            </w:r>
            <w:r>
              <w:rPr>
                <w:rFonts w:hint="eastAsia" w:ascii="宋体" w:hAnsi="宋体" w:cs="Times New Roman"/>
                <w:color w:val="000000" w:themeColor="text1"/>
              </w:rPr>
              <w:t>。</w:t>
            </w:r>
            <w:r>
              <w:rPr>
                <w:rFonts w:hint="eastAsia" w:ascii="宋体" w:hAnsi="宋体" w:cs="Times New Roman"/>
                <w:color w:val="000000" w:themeColor="text1"/>
                <w:lang w:val="en-US" w:eastAsia="zh-CN"/>
              </w:rPr>
              <w:t>8.3条款的不适用不影响组织提供满足客户要求及法律法规要求的责任。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12"/>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产品/服务□环境因素□危险源，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ind w:left="210" w:leftChars="100" w:firstLine="630" w:firstLineChars="300"/>
              <w:rPr>
                <w:rFonts w:hint="eastAsia" w:ascii="宋体" w:hAnsi="宋体" w:eastAsia="宋体" w:cs="宋体"/>
                <w:szCs w:val="24"/>
              </w:rPr>
            </w:pPr>
            <w:r>
              <w:rPr>
                <w:rFonts w:hint="eastAsia" w:ascii="宋体" w:hAnsi="宋体" w:eastAsia="宋体" w:cs="宋体"/>
                <w:szCs w:val="24"/>
              </w:rPr>
              <w:t>a、产品交付合格率100%；</w:t>
            </w:r>
          </w:p>
          <w:p>
            <w:pPr>
              <w:spacing w:line="360" w:lineRule="auto"/>
              <w:ind w:left="210" w:leftChars="100" w:firstLine="630" w:firstLineChars="300"/>
              <w:rPr>
                <w:rFonts w:hint="eastAsia" w:ascii="宋体" w:hAnsi="宋体" w:eastAsia="宋体" w:cs="宋体"/>
                <w:szCs w:val="24"/>
                <w:lang w:eastAsia="zh-CN"/>
              </w:rPr>
            </w:pPr>
            <w:r>
              <w:rPr>
                <w:rFonts w:hint="eastAsia" w:ascii="宋体" w:hAnsi="宋体" w:eastAsia="宋体" w:cs="宋体"/>
                <w:szCs w:val="24"/>
              </w:rPr>
              <w:t>b、合同按时交付率100%</w:t>
            </w:r>
            <w:r>
              <w:rPr>
                <w:rFonts w:hint="eastAsia" w:ascii="宋体" w:hAnsi="宋体" w:cs="宋体"/>
                <w:szCs w:val="24"/>
                <w:lang w:eastAsia="zh-CN"/>
              </w:rPr>
              <w:t>；</w:t>
            </w:r>
          </w:p>
          <w:p>
            <w:pPr>
              <w:spacing w:line="240" w:lineRule="exact"/>
              <w:ind w:firstLine="840" w:firstLineChars="400"/>
              <w:rPr>
                <w:rFonts w:ascii="宋体" w:hAnsi="宋体"/>
                <w:b/>
                <w:color w:val="000000" w:themeColor="text1"/>
              </w:rPr>
            </w:pPr>
            <w:r>
              <w:rPr>
                <w:rFonts w:hint="eastAsia" w:ascii="宋体" w:hAnsi="宋体" w:eastAsia="宋体" w:cs="宋体"/>
                <w:szCs w:val="24"/>
              </w:rPr>
              <w:t>c、顾客满意度＞90分</w:t>
            </w:r>
            <w:r>
              <w:rPr>
                <w:rFonts w:hint="eastAsia" w:ascii="宋体" w:hAnsi="宋体" w:cs="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eastAsia="宋体" w:cs="Times New Roman"/>
                <w:bCs/>
                <w:iCs/>
                <w:lang w:val="en-US" w:eastAsia="zh-CN"/>
              </w:rPr>
              <w:t>公司生产车间面积2500平方左右，库房面积1500平方米，办公室面积300平方左右。主要生产设备包括：校直机、剪板机</w:t>
            </w:r>
            <w:r>
              <w:rPr>
                <w:rFonts w:hint="eastAsia" w:ascii="宋体" w:hAnsi="宋体" w:eastAsia="宋体" w:cs="Times New Roman"/>
                <w:bCs/>
                <w:iCs/>
                <w:lang w:eastAsia="zh-CN"/>
              </w:rPr>
              <w:t>、</w:t>
            </w:r>
            <w:r>
              <w:rPr>
                <w:rFonts w:hint="eastAsia" w:ascii="宋体" w:hAnsi="宋体" w:eastAsia="宋体" w:cs="Times New Roman"/>
                <w:bCs/>
                <w:iCs/>
                <w:lang w:val="en-US" w:eastAsia="zh-CN"/>
              </w:rPr>
              <w:t>折弯</w:t>
            </w:r>
            <w:r>
              <w:rPr>
                <w:rFonts w:hint="eastAsia" w:ascii="宋体" w:hAnsi="宋体" w:eastAsia="宋体" w:cs="Times New Roman"/>
                <w:bCs/>
                <w:iCs/>
                <w:lang w:eastAsia="zh-CN"/>
              </w:rPr>
              <w:t>机、</w:t>
            </w:r>
            <w:r>
              <w:rPr>
                <w:rFonts w:hint="eastAsia" w:ascii="宋体" w:hAnsi="宋体" w:eastAsia="宋体" w:cs="Times New Roman"/>
                <w:bCs/>
                <w:iCs/>
                <w:lang w:val="en-US" w:eastAsia="zh-CN"/>
              </w:rPr>
              <w:t>半自动焊接生产线</w:t>
            </w:r>
            <w:r>
              <w:rPr>
                <w:rFonts w:hint="eastAsia" w:ascii="宋体" w:hAnsi="宋体" w:eastAsia="宋体" w:cs="Times New Roman"/>
                <w:bCs/>
                <w:iCs/>
                <w:lang w:eastAsia="zh-CN"/>
              </w:rPr>
              <w:t>机、冲床、弯</w:t>
            </w:r>
            <w:r>
              <w:rPr>
                <w:rFonts w:hint="eastAsia" w:ascii="宋体" w:hAnsi="宋体" w:eastAsia="宋体" w:cs="Times New Roman"/>
                <w:bCs/>
                <w:iCs/>
                <w:lang w:val="en-US" w:eastAsia="zh-CN"/>
              </w:rPr>
              <w:t>管</w:t>
            </w:r>
            <w:r>
              <w:rPr>
                <w:rFonts w:hint="eastAsia" w:ascii="宋体" w:hAnsi="宋体" w:eastAsia="宋体" w:cs="Times New Roman"/>
                <w:bCs/>
                <w:iCs/>
                <w:lang w:eastAsia="zh-CN"/>
              </w:rPr>
              <w:t>机、点焊机、</w:t>
            </w:r>
            <w:r>
              <w:rPr>
                <w:rFonts w:hint="eastAsia" w:ascii="宋体" w:hAnsi="宋体" w:eastAsia="宋体" w:cs="Times New Roman"/>
                <w:bCs/>
                <w:iCs/>
                <w:lang w:val="en-US" w:eastAsia="zh-CN"/>
              </w:rPr>
              <w:t>激光切割</w:t>
            </w:r>
            <w:r>
              <w:rPr>
                <w:rFonts w:hint="eastAsia" w:ascii="宋体" w:hAnsi="宋体" w:eastAsia="宋体" w:cs="Times New Roman"/>
                <w:bCs/>
                <w:iCs/>
                <w:lang w:eastAsia="zh-CN"/>
              </w:rPr>
              <w:t>机、</w:t>
            </w:r>
            <w:r>
              <w:rPr>
                <w:rFonts w:hint="eastAsia" w:ascii="宋体" w:hAnsi="宋体" w:eastAsia="宋体" w:cs="Times New Roman"/>
                <w:bCs/>
                <w:iCs/>
                <w:lang w:val="en-US" w:eastAsia="zh-CN"/>
              </w:rPr>
              <w:t>喷涂生产线、注塑机、行车、空压机</w:t>
            </w:r>
            <w:r>
              <w:rPr>
                <w:rFonts w:hint="eastAsia" w:ascii="宋体" w:hAnsi="宋体" w:eastAsia="宋体" w:cs="Times New Roman"/>
                <w:bCs/>
                <w:iCs/>
                <w:lang w:eastAsia="zh-CN"/>
              </w:rPr>
              <w:t>及办公设备等</w:t>
            </w:r>
            <w:r>
              <w:rPr>
                <w:rFonts w:hint="eastAsia" w:ascii="宋体" w:hAnsi="宋体" w:eastAsia="宋体" w:cs="Times New Roman"/>
                <w:bCs/>
                <w:iCs/>
                <w:lang w:val="en-US" w:eastAsia="zh-CN"/>
              </w:rPr>
              <w:t>，可以满足产品加工需要。对设备按月方式进行点检维护保养，并实施。特种设备：行车。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车间</w:t>
            </w:r>
            <w:r>
              <w:rPr>
                <w:rFonts w:hint="eastAsia" w:ascii="宋体" w:hAnsi="宋体" w:cs="宋体"/>
                <w:szCs w:val="21"/>
                <w:lang w:eastAsia="zh-CN"/>
              </w:rPr>
              <w:t>及办公场所</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办公室</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default" w:ascii="宋体" w:hAnsi="宋体" w:eastAsia="宋体"/>
                <w:b/>
                <w:color w:val="000000" w:themeColor="text1"/>
                <w:sz w:val="20"/>
                <w:szCs w:val="20"/>
                <w:lang w:val="en-US" w:eastAsia="zh-CN"/>
              </w:rPr>
            </w:pPr>
            <w:r>
              <w:rPr>
                <w:rFonts w:hint="eastAsia" w:ascii="宋体" w:hAnsi="宋体" w:eastAsia="宋体" w:cs="Times New Roman"/>
                <w:color w:val="auto"/>
                <w:szCs w:val="21"/>
                <w:lang w:val="en-US" w:eastAsia="zh-CN"/>
              </w:rPr>
              <w:t>公司的监视和测量设施设备主要是游标卡尺、钢卷尺，千分尺、压力表、绝缘电阻表、数字万用表等，均采用委外送检的方式。抽在用监视和测量的检定或校准证书，</w:t>
            </w:r>
            <w:r>
              <w:rPr>
                <w:rFonts w:hint="eastAsia" w:ascii="宋体" w:hAnsi="宋体"/>
                <w:color w:val="auto"/>
                <w:szCs w:val="21"/>
                <w:lang w:val="en-US" w:eastAsia="zh-CN"/>
              </w:rPr>
              <w:t>提供的以上检具的校准证书有效期已过，</w:t>
            </w:r>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发现监视和测量设备</w:t>
            </w:r>
            <w:r>
              <w:rPr>
                <w:rFonts w:hint="eastAsia" w:ascii="宋体" w:hAnsi="宋体"/>
                <w:color w:val="auto"/>
                <w:szCs w:val="21"/>
                <w:lang w:val="en-US" w:eastAsia="zh-CN"/>
              </w:rPr>
              <w:t>校准证书有效期问题</w:t>
            </w:r>
            <w:r>
              <w:rPr>
                <w:rFonts w:hint="eastAsia" w:ascii="宋体" w:hAnsi="宋体" w:cs="宋体"/>
                <w:color w:val="auto"/>
                <w:sz w:val="21"/>
                <w:szCs w:val="21"/>
                <w:highlight w:val="none"/>
                <w:lang w:eastAsia="zh-CN"/>
              </w:rPr>
              <w:t>，未得到改善</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rPr>
                <w:rFonts w:hint="default" w:eastAsia="宋体"/>
                <w:b/>
                <w:color w:val="000000" w:themeColor="text1"/>
                <w:sz w:val="20"/>
                <w:szCs w:val="20"/>
                <w:lang w:val="en-US" w:eastAsia="zh-CN"/>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cs="宋体"/>
                <w:color w:val="000000"/>
                <w:szCs w:val="21"/>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 xml:space="preserve">实施和改进活动正常有序展开（包括回访和顾客满意度调查），相关绩效表明：组织基本能有效控制管理其生产及服务过程，从审核过程看，公司的产品质量管理基本受控。 </w:t>
            </w:r>
            <w:r>
              <w:rPr>
                <w:rFonts w:hint="eastAsia" w:ascii="宋体" w:hAnsi="宋体"/>
                <w:color w:val="auto"/>
                <w:sz w:val="21"/>
                <w:szCs w:val="21"/>
              </w:rPr>
              <w:t>关键</w:t>
            </w:r>
            <w:r>
              <w:rPr>
                <w:rFonts w:hint="eastAsia" w:ascii="宋体" w:hAnsi="宋体"/>
                <w:color w:val="auto"/>
                <w:sz w:val="21"/>
                <w:szCs w:val="21"/>
                <w:lang w:val="en-US" w:eastAsia="zh-CN"/>
              </w:rPr>
              <w:t>/确认</w:t>
            </w:r>
            <w:r>
              <w:rPr>
                <w:rFonts w:hint="eastAsia" w:ascii="宋体" w:hAnsi="宋体"/>
                <w:color w:val="auto"/>
                <w:sz w:val="21"/>
                <w:szCs w:val="21"/>
              </w:rPr>
              <w:t>过程</w:t>
            </w:r>
            <w:r>
              <w:rPr>
                <w:rFonts w:hint="eastAsia" w:ascii="宋体" w:hAnsi="宋体" w:cs="Times New Roman"/>
                <w:color w:val="auto"/>
                <w:sz w:val="21"/>
                <w:szCs w:val="21"/>
              </w:rPr>
              <w:t>：</w:t>
            </w:r>
            <w:r>
              <w:rPr>
                <w:rFonts w:hint="eastAsia" w:ascii="宋体" w:hAnsi="宋体" w:cs="Times New Roman"/>
                <w:color w:val="auto"/>
                <w:sz w:val="21"/>
                <w:szCs w:val="21"/>
                <w:lang w:eastAsia="zh-CN"/>
              </w:rPr>
              <w:t>焊接过程、</w:t>
            </w:r>
            <w:r>
              <w:rPr>
                <w:rFonts w:hint="eastAsia" w:ascii="宋体" w:hAnsi="宋体" w:cs="Times New Roman"/>
                <w:color w:val="auto"/>
                <w:sz w:val="21"/>
                <w:szCs w:val="21"/>
                <w:lang w:val="en-US" w:eastAsia="zh-CN"/>
              </w:rPr>
              <w:t>喷涂</w:t>
            </w:r>
            <w:r>
              <w:rPr>
                <w:rFonts w:hint="eastAsia" w:ascii="宋体" w:hAnsi="宋体" w:cs="Times New Roman"/>
                <w:color w:val="auto"/>
                <w:sz w:val="21"/>
                <w:szCs w:val="21"/>
                <w:lang w:eastAsia="zh-CN"/>
              </w:rPr>
              <w:t>过程、</w:t>
            </w:r>
            <w:r>
              <w:rPr>
                <w:rFonts w:hint="eastAsia" w:ascii="宋体" w:hAnsi="宋体" w:cs="Times New Roman"/>
                <w:color w:val="auto"/>
                <w:sz w:val="21"/>
                <w:szCs w:val="21"/>
                <w:lang w:val="en-US" w:eastAsia="zh-CN"/>
              </w:rPr>
              <w:t>注塑过程、</w:t>
            </w:r>
            <w:r>
              <w:rPr>
                <w:rFonts w:hint="eastAsia" w:ascii="宋体" w:hAnsi="宋体" w:cs="Times New Roman"/>
                <w:color w:val="auto"/>
                <w:sz w:val="21"/>
                <w:szCs w:val="21"/>
                <w:lang w:eastAsia="zh-CN"/>
              </w:rPr>
              <w:t>销售过程。</w:t>
            </w:r>
            <w:r>
              <w:rPr>
                <w:rFonts w:hint="eastAsia" w:ascii="宋体" w:hAnsi="宋体" w:cs="Times New Roman"/>
                <w:color w:val="auto"/>
                <w:sz w:val="21"/>
                <w:szCs w:val="21"/>
                <w:lang w:val="en-US" w:eastAsia="zh-CN"/>
              </w:rPr>
              <w:t>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10. 对特种设备的维护，检定; 有行车6台，提供有行车的年检报告均在有效期内。</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9月</w:t>
            </w:r>
            <w:r>
              <w:rPr>
                <w:rFonts w:hint="eastAsia" w:ascii="宋体" w:hAnsi="宋体" w:cs="宋体"/>
                <w:color w:val="000000"/>
                <w:szCs w:val="21"/>
              </w:rPr>
              <w:t>-</w:t>
            </w:r>
            <w:r>
              <w:rPr>
                <w:rFonts w:hint="eastAsia" w:ascii="宋体" w:hAnsi="宋体" w:cs="宋体"/>
                <w:color w:val="000000"/>
                <w:szCs w:val="21"/>
                <w:lang w:val="en-US" w:eastAsia="zh-CN"/>
              </w:rPr>
              <w:t>2021年2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0" w:hanging="105" w:hangingChars="50"/>
              <w:rPr>
                <w:rFonts w:hint="default" w:eastAsia="宋体"/>
                <w:b/>
                <w:color w:val="000000" w:themeColor="text1"/>
                <w:sz w:val="20"/>
                <w:szCs w:val="20"/>
                <w:lang w:val="en-US" w:eastAsia="zh-CN"/>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11</w:t>
            </w:r>
            <w:r>
              <w:rPr>
                <w:rFonts w:hint="eastAsia" w:ascii="宋体" w:hAnsi="宋体" w:cs="宋体"/>
                <w:color w:val="000000"/>
                <w:szCs w:val="21"/>
              </w:rPr>
              <w:t>月实施，满意度评价</w:t>
            </w:r>
            <w:r>
              <w:rPr>
                <w:rFonts w:hint="eastAsia" w:ascii="宋体" w:hAnsi="宋体" w:cs="宋体"/>
                <w:color w:val="000000"/>
                <w:szCs w:val="21"/>
                <w:lang w:val="en-US" w:eastAsia="zh-CN"/>
              </w:rPr>
              <w:t>98分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cs="宋体"/>
                <w:szCs w:val="21"/>
              </w:rPr>
              <w:t>建立有《内审控制程序》，规定了内审频次一年一次，内审时间</w:t>
            </w:r>
            <w:r>
              <w:rPr>
                <w:rFonts w:hint="eastAsia" w:ascii="宋体" w:hAnsi="宋体" w:cs="宋体"/>
                <w:szCs w:val="21"/>
                <w:lang w:eastAsia="zh-CN"/>
              </w:rPr>
              <w:t>：</w:t>
            </w:r>
            <w:r>
              <w:rPr>
                <w:rFonts w:hint="eastAsia"/>
                <w:sz w:val="21"/>
                <w:szCs w:val="21"/>
                <w:highlight w:val="none"/>
                <w:lang w:eastAsia="zh-CN"/>
              </w:rPr>
              <w:t>2020年</w:t>
            </w:r>
            <w:r>
              <w:rPr>
                <w:rFonts w:hint="eastAsia"/>
                <w:sz w:val="21"/>
                <w:szCs w:val="21"/>
                <w:highlight w:val="none"/>
                <w:lang w:val="en-US" w:eastAsia="zh-CN"/>
              </w:rPr>
              <w:t>12</w:t>
            </w:r>
            <w:r>
              <w:rPr>
                <w:rFonts w:hint="eastAsia"/>
                <w:sz w:val="21"/>
                <w:szCs w:val="21"/>
                <w:highlight w:val="none"/>
                <w:lang w:eastAsia="zh-CN"/>
              </w:rPr>
              <w:t>月</w:t>
            </w:r>
            <w:r>
              <w:rPr>
                <w:rFonts w:hint="eastAsia"/>
                <w:sz w:val="21"/>
                <w:szCs w:val="21"/>
                <w:highlight w:val="none"/>
                <w:lang w:val="en-US" w:eastAsia="zh-CN"/>
              </w:rPr>
              <w:t>11-12</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cs="宋体"/>
                <w:color w:val="000000" w:themeColor="text1"/>
                <w:szCs w:val="21"/>
                <w:lang w:eastAsia="zh-CN"/>
              </w:rPr>
              <w:t>，</w:t>
            </w:r>
            <w:r>
              <w:rPr>
                <w:rFonts w:hint="eastAsia"/>
                <w:color w:val="000000" w:themeColor="text1"/>
                <w:sz w:val="21"/>
                <w:szCs w:val="21"/>
              </w:rPr>
              <w:t>涉及</w:t>
            </w:r>
            <w:r>
              <w:rPr>
                <w:rFonts w:hint="eastAsia"/>
                <w:color w:val="000000" w:themeColor="text1"/>
                <w:sz w:val="21"/>
                <w:szCs w:val="21"/>
                <w:lang w:eastAsia="zh-CN"/>
              </w:rPr>
              <w:t>生产技术部</w:t>
            </w:r>
            <w:r>
              <w:rPr>
                <w:rFonts w:hint="eastAsia"/>
                <w:color w:val="000000" w:themeColor="text1"/>
                <w:sz w:val="21"/>
                <w:szCs w:val="21"/>
                <w:lang w:val="en-US" w:eastAsia="zh-CN"/>
              </w:rPr>
              <w:t>7.1.3</w:t>
            </w:r>
            <w:r>
              <w:rPr>
                <w:rFonts w:hint="eastAsia"/>
                <w:color w:val="auto"/>
                <w:sz w:val="21"/>
                <w:szCs w:val="21"/>
                <w:highlight w:val="none"/>
                <w:lang w:val="en-US" w:eastAsia="zh-CN"/>
              </w:rPr>
              <w:t>条款</w:t>
            </w:r>
            <w:r>
              <w:rPr>
                <w:rFonts w:hint="eastAsia"/>
                <w:sz w:val="21"/>
                <w:szCs w:val="21"/>
                <w:lang w:val="en-US" w:eastAsia="zh-CN"/>
              </w:rPr>
              <w:t>。</w:t>
            </w:r>
            <w:r>
              <w:rPr>
                <w:rFonts w:hint="eastAsia"/>
                <w:sz w:val="21"/>
                <w:szCs w:val="21"/>
              </w:rPr>
              <w:t>对</w:t>
            </w:r>
            <w:r>
              <w:rPr>
                <w:rFonts w:hint="eastAsia"/>
                <w:sz w:val="21"/>
                <w:szCs w:val="21"/>
                <w:lang w:eastAsia="zh-CN"/>
              </w:rPr>
              <w:t>不符合事实描述为“未见2020.10生产设备保养记录”</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 xml:space="preserve"> </w:t>
            </w:r>
          </w:p>
          <w:p>
            <w:pPr>
              <w:widowControl/>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eastAsia="宋体"/>
                <w:b/>
                <w:color w:val="000000" w:themeColor="text1"/>
                <w:sz w:val="20"/>
                <w:szCs w:val="20"/>
                <w:lang w:val="en-US" w:eastAsia="zh-CN"/>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eastAsia" w:eastAsia="宋体"/>
                <w:b/>
                <w:color w:val="000000" w:themeColor="text1"/>
                <w:szCs w:val="21"/>
                <w:lang w:val="en-US" w:eastAsia="zh-CN"/>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 xml:space="preserve"> 1</w:t>
      </w:r>
      <w:r>
        <w:rPr>
          <w:rFonts w:hint="eastAsia"/>
          <w:b/>
          <w:color w:val="000000" w:themeColor="text1"/>
        </w:rPr>
        <w:t>项，观察项</w:t>
      </w:r>
      <w:r>
        <w:rPr>
          <w:rFonts w:hint="eastAsia"/>
          <w:b/>
          <w:color w:val="000000" w:themeColor="text1"/>
          <w:lang w:val="en-US" w:eastAsia="zh-CN"/>
        </w:rPr>
        <w:t>1</w:t>
      </w:r>
      <w:r>
        <w:rPr>
          <w:rFonts w:hint="eastAsia"/>
          <w:b/>
          <w:color w:val="000000" w:themeColor="text1"/>
        </w:rPr>
        <w:t>项</w:t>
      </w:r>
      <w:r>
        <w:rPr>
          <w:rFonts w:hint="eastAsia"/>
          <w:b/>
          <w:color w:val="000000" w:themeColor="text1"/>
          <w:lang w:val="en-US" w:eastAsia="zh-CN"/>
        </w:rPr>
        <w:t>.不符合项</w:t>
      </w:r>
      <w:r>
        <w:rPr>
          <w:rFonts w:hint="eastAsia"/>
          <w:b/>
          <w:color w:val="000000" w:themeColor="text1"/>
        </w:rPr>
        <w:t>分布在</w:t>
      </w:r>
      <w:r>
        <w:rPr>
          <w:rFonts w:hint="eastAsia"/>
          <w:b/>
          <w:color w:val="000000" w:themeColor="text1"/>
          <w:lang w:val="en-US" w:eastAsia="zh-CN"/>
        </w:rPr>
        <w:t>生产技术</w:t>
      </w:r>
      <w:r>
        <w:rPr>
          <w:rFonts w:hint="eastAsia"/>
          <w:b/>
          <w:color w:val="000000" w:themeColor="text1"/>
        </w:rPr>
        <w:t>部门</w:t>
      </w:r>
      <w:r>
        <w:rPr>
          <w:rFonts w:hint="eastAsia"/>
          <w:b/>
          <w:color w:val="000000" w:themeColor="text1"/>
          <w:lang w:val="en-US" w:eastAsia="zh-CN"/>
        </w:rPr>
        <w:t xml:space="preserve">Q7.1.5 a </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黑体" w:hAnsi="黑体" w:eastAsia="黑体" w:cs="黑体"/>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黑体" w:hAnsi="黑体" w:eastAsia="黑体" w:cs="黑体"/>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 w:val="21"/>
                <w:szCs w:val="21"/>
                <w:lang w:eastAsia="zh-CN"/>
              </w:rPr>
              <w:t>道路及街道照明灯具、信号灯具的生产（有许可要求的除外）及销售，高低压配电系统设备、路灯智能控制系统设备的销售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sz w:val="26"/>
          <w:szCs w:val="26"/>
        </w:rPr>
      </w:pPr>
      <w:r>
        <w:rPr>
          <w:rFonts w:hint="eastAsia"/>
          <w:b/>
          <w:sz w:val="22"/>
          <w:szCs w:val="22"/>
        </w:rPr>
        <w:drawing>
          <wp:anchor distT="0" distB="0" distL="114300" distR="114300" simplePos="0" relativeHeight="251662336" behindDoc="0" locked="0" layoutInCell="1" allowOverlap="1">
            <wp:simplePos x="0" y="0"/>
            <wp:positionH relativeFrom="column">
              <wp:posOffset>1613535</wp:posOffset>
            </wp:positionH>
            <wp:positionV relativeFrom="paragraph">
              <wp:posOffset>-9525</wp:posOffset>
            </wp:positionV>
            <wp:extent cx="816610" cy="511810"/>
            <wp:effectExtent l="0" t="0" r="6350" b="635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816610" cy="51181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114300" distR="114300" simplePos="0" relativeHeight="251671552" behindDoc="0" locked="0" layoutInCell="1" allowOverlap="1">
            <wp:simplePos x="0" y="0"/>
            <wp:positionH relativeFrom="column">
              <wp:posOffset>1572260</wp:posOffset>
            </wp:positionH>
            <wp:positionV relativeFrom="paragraph">
              <wp:posOffset>149860</wp:posOffset>
            </wp:positionV>
            <wp:extent cx="539115" cy="353060"/>
            <wp:effectExtent l="0" t="0" r="9525" b="1270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39115" cy="35306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ascii="黑体" w:hAnsi="黑体" w:eastAsia="黑体" w:cs="黑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 xml:space="preserve">0 </w:t>
      </w:r>
      <w:r>
        <w:rPr>
          <w:rFonts w:hint="eastAsia"/>
          <w:b/>
          <w:color w:val="000000" w:themeColor="text1"/>
          <w:szCs w:val="21"/>
        </w:rPr>
        <w:t>)个严重不符合，</w:t>
      </w:r>
      <w:r>
        <w:rPr>
          <w:rFonts w:hint="eastAsia" w:ascii="黑体" w:hAnsi="黑体" w:eastAsia="黑体" w:cs="黑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91008" behindDoc="0" locked="0" layoutInCell="1" allowOverlap="1">
            <wp:simplePos x="0" y="0"/>
            <wp:positionH relativeFrom="column">
              <wp:posOffset>688975</wp:posOffset>
            </wp:positionH>
            <wp:positionV relativeFrom="paragraph">
              <wp:posOffset>43180</wp:posOffset>
            </wp:positionV>
            <wp:extent cx="744220" cy="466090"/>
            <wp:effectExtent l="0" t="0" r="2540" b="635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44220" cy="46609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r>
        <w:rPr>
          <w:rFonts w:hint="eastAsia"/>
          <w:b/>
          <w:color w:val="000000" w:themeColor="text1"/>
          <w:szCs w:val="21"/>
          <w:highlight w:val="none"/>
        </w:rPr>
        <w:t>日期:</w:t>
      </w:r>
      <w:r>
        <w:rPr>
          <w:rFonts w:hint="eastAsia"/>
          <w:b/>
          <w:color w:val="000000" w:themeColor="text1"/>
          <w:szCs w:val="21"/>
          <w:highlight w:val="none"/>
          <w:lang w:val="en-US" w:eastAsia="zh-CN"/>
        </w:rPr>
        <w:t>2021</w:t>
      </w:r>
      <w:r>
        <w:rPr>
          <w:rFonts w:hint="eastAsia"/>
          <w:b/>
          <w:color w:val="000000" w:themeColor="text1"/>
          <w:szCs w:val="21"/>
          <w:highlight w:val="none"/>
        </w:rPr>
        <w:t>年</w:t>
      </w:r>
      <w:r>
        <w:rPr>
          <w:rFonts w:hint="eastAsia"/>
          <w:b/>
          <w:color w:val="000000" w:themeColor="text1"/>
          <w:szCs w:val="21"/>
          <w:highlight w:val="none"/>
          <w:lang w:val="en-US" w:eastAsia="zh-CN"/>
        </w:rPr>
        <w:t>3</w:t>
      </w:r>
      <w:r>
        <w:rPr>
          <w:rFonts w:hint="eastAsia"/>
          <w:b/>
          <w:color w:val="000000" w:themeColor="text1"/>
          <w:szCs w:val="21"/>
          <w:highlight w:val="none"/>
        </w:rPr>
        <w:t>月</w:t>
      </w:r>
      <w:r>
        <w:rPr>
          <w:rFonts w:hint="eastAsia"/>
          <w:b/>
          <w:color w:val="000000" w:themeColor="text1"/>
          <w:szCs w:val="21"/>
          <w:highlight w:val="none"/>
          <w:lang w:val="en-US" w:eastAsia="zh-CN"/>
        </w:rPr>
        <w:t>11</w:t>
      </w:r>
      <w:r>
        <w:rPr>
          <w:rFonts w:hint="eastAsia"/>
          <w:b/>
          <w:color w:val="000000" w:themeColor="text1"/>
          <w:szCs w:val="21"/>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510193"/>
    <w:multiLevelType w:val="singleLevel"/>
    <w:tmpl w:val="B351019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81C62"/>
    <w:rsid w:val="011F1590"/>
    <w:rsid w:val="038A3A86"/>
    <w:rsid w:val="06B60389"/>
    <w:rsid w:val="093E5517"/>
    <w:rsid w:val="0A455C3B"/>
    <w:rsid w:val="0B274C99"/>
    <w:rsid w:val="0C5023E1"/>
    <w:rsid w:val="0D3336B2"/>
    <w:rsid w:val="0DD61A86"/>
    <w:rsid w:val="0E317993"/>
    <w:rsid w:val="0F012259"/>
    <w:rsid w:val="0FE146D7"/>
    <w:rsid w:val="12070D01"/>
    <w:rsid w:val="1317133C"/>
    <w:rsid w:val="133867EC"/>
    <w:rsid w:val="140F6CD9"/>
    <w:rsid w:val="154A5505"/>
    <w:rsid w:val="15D30F0F"/>
    <w:rsid w:val="16736DB3"/>
    <w:rsid w:val="17A671C1"/>
    <w:rsid w:val="19114953"/>
    <w:rsid w:val="19BB7530"/>
    <w:rsid w:val="1CCE5C98"/>
    <w:rsid w:val="1E644ED0"/>
    <w:rsid w:val="1E737ECE"/>
    <w:rsid w:val="1E8656A7"/>
    <w:rsid w:val="1F752ECF"/>
    <w:rsid w:val="203F7672"/>
    <w:rsid w:val="20F63176"/>
    <w:rsid w:val="21C61B6F"/>
    <w:rsid w:val="21F57389"/>
    <w:rsid w:val="22997952"/>
    <w:rsid w:val="23B562C6"/>
    <w:rsid w:val="24BD1344"/>
    <w:rsid w:val="262810D3"/>
    <w:rsid w:val="26937939"/>
    <w:rsid w:val="2A8544FA"/>
    <w:rsid w:val="2BC7748F"/>
    <w:rsid w:val="2C031F1C"/>
    <w:rsid w:val="2CC83C2E"/>
    <w:rsid w:val="2F7E5C24"/>
    <w:rsid w:val="2F90451F"/>
    <w:rsid w:val="31306E18"/>
    <w:rsid w:val="32F0301F"/>
    <w:rsid w:val="33AE0BA2"/>
    <w:rsid w:val="341C3583"/>
    <w:rsid w:val="35575938"/>
    <w:rsid w:val="378A6753"/>
    <w:rsid w:val="39245FCD"/>
    <w:rsid w:val="39751D3B"/>
    <w:rsid w:val="3B8B197B"/>
    <w:rsid w:val="4012106C"/>
    <w:rsid w:val="43672453"/>
    <w:rsid w:val="457E463B"/>
    <w:rsid w:val="45AF786D"/>
    <w:rsid w:val="46302C97"/>
    <w:rsid w:val="468B1668"/>
    <w:rsid w:val="47F46A19"/>
    <w:rsid w:val="4AF7252A"/>
    <w:rsid w:val="4C615B24"/>
    <w:rsid w:val="4C725E8F"/>
    <w:rsid w:val="4CBE76D5"/>
    <w:rsid w:val="4DD77FBB"/>
    <w:rsid w:val="4E461D65"/>
    <w:rsid w:val="4E9B5C35"/>
    <w:rsid w:val="4FE25591"/>
    <w:rsid w:val="50BB745E"/>
    <w:rsid w:val="53BF455E"/>
    <w:rsid w:val="540B2E34"/>
    <w:rsid w:val="54981A28"/>
    <w:rsid w:val="552021CB"/>
    <w:rsid w:val="5631255D"/>
    <w:rsid w:val="577D4FEC"/>
    <w:rsid w:val="5831193C"/>
    <w:rsid w:val="58FB1A61"/>
    <w:rsid w:val="594D2BD0"/>
    <w:rsid w:val="5968583A"/>
    <w:rsid w:val="59764AF9"/>
    <w:rsid w:val="59A77B3F"/>
    <w:rsid w:val="5A277415"/>
    <w:rsid w:val="5A6572BA"/>
    <w:rsid w:val="5B3B735B"/>
    <w:rsid w:val="5BAA6D1C"/>
    <w:rsid w:val="5C2130FA"/>
    <w:rsid w:val="5CB70CF1"/>
    <w:rsid w:val="5DCD72C5"/>
    <w:rsid w:val="5DED162E"/>
    <w:rsid w:val="606D21B9"/>
    <w:rsid w:val="61067E08"/>
    <w:rsid w:val="63171AEF"/>
    <w:rsid w:val="66B30447"/>
    <w:rsid w:val="68242812"/>
    <w:rsid w:val="688C153A"/>
    <w:rsid w:val="68DF5073"/>
    <w:rsid w:val="69284CD5"/>
    <w:rsid w:val="6A4D7098"/>
    <w:rsid w:val="6BB64C89"/>
    <w:rsid w:val="6F4D2F9C"/>
    <w:rsid w:val="722D04A1"/>
    <w:rsid w:val="72E55477"/>
    <w:rsid w:val="761813CC"/>
    <w:rsid w:val="772E4A0A"/>
    <w:rsid w:val="77A2005B"/>
    <w:rsid w:val="789253D3"/>
    <w:rsid w:val="7A5664EA"/>
    <w:rsid w:val="7AA074FC"/>
    <w:rsid w:val="7B896F63"/>
    <w:rsid w:val="7D7366FA"/>
    <w:rsid w:val="7E7C02C1"/>
    <w:rsid w:val="7FCD314D"/>
    <w:rsid w:val="7FE238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0"/>
    <w:pPr>
      <w:spacing w:before="40" w:after="40"/>
    </w:pPr>
    <w:rPr>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2021-03-14T11:03:32Z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