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0130-2021-Q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四川省浪樱照明工程有限公司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19.12.00,29.12.00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黑体" w:hAnsi="黑体" w:eastAsia="黑体" w:cs="黑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黑体" w:hAnsi="黑体" w:eastAsia="黑体" w:cs="黑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四川省浪樱照明工程有限公司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成都市武侯区武侯新城管委会武青南路 51 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新都区斑竹园镇鸦雀口社区正方路 50 号/成都市武侯区武侯新城管委会武青南路 51 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道路及街道照明灯具、信号灯具的生产（有许可要求的除外）及 销售，高低压配电系统设备、路灯智能控制系统设备的销售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19.12.00;29.12.00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黑体" w:hAnsi="黑体" w:eastAsia="黑体" w:cs="黑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管理层、总经办、生产技术部、市场部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）是否进行了过程识别，</w:t>
            </w:r>
          </w:p>
        </w:tc>
        <w:tc>
          <w:tcPr>
            <w:tcW w:w="970" w:type="dxa"/>
            <w:gridSpan w:val="2"/>
          </w:tcPr>
          <w:p>
            <w:pPr>
              <w:rPr>
                <w:rFonts w:ascii="宋体"/>
                <w:color w:val="auto"/>
                <w:spacing w:val="-10"/>
                <w:sz w:val="20"/>
                <w:szCs w:val="20"/>
              </w:rPr>
            </w:pPr>
            <w:r>
              <w:rPr>
                <w:rFonts w:hint="eastAsia" w:ascii="黑体" w:hAnsi="黑体" w:eastAsia="黑体" w:cs="黑体"/>
                <w:color w:val="auto"/>
                <w:spacing w:val="-10"/>
                <w:sz w:val="20"/>
                <w:szCs w:val="20"/>
              </w:rPr>
              <w:t>■</w:t>
            </w:r>
            <w:r>
              <w:rPr>
                <w:rFonts w:hint="eastAsia" w:ascii="宋体" w:hAnsi="宋体"/>
                <w:color w:val="auto"/>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）是否有特殊过程</w:t>
            </w:r>
          </w:p>
        </w:tc>
        <w:tc>
          <w:tcPr>
            <w:tcW w:w="970" w:type="dxa"/>
            <w:gridSpan w:val="2"/>
          </w:tcPr>
          <w:p>
            <w:pPr>
              <w:rPr>
                <w:rFonts w:ascii="宋体"/>
                <w:color w:val="auto"/>
                <w:spacing w:val="-10"/>
                <w:sz w:val="20"/>
                <w:szCs w:val="20"/>
              </w:rPr>
            </w:pPr>
            <w:r>
              <w:rPr>
                <w:rFonts w:hint="eastAsia" w:ascii="黑体" w:hAnsi="黑体" w:eastAsia="黑体" w:cs="黑体"/>
                <w:color w:val="auto"/>
                <w:spacing w:val="-10"/>
                <w:sz w:val="20"/>
                <w:szCs w:val="20"/>
                <w:lang w:eastAsia="zh-CN"/>
              </w:rPr>
              <w:t>■</w:t>
            </w:r>
            <w:r>
              <w:rPr>
                <w:rFonts w:hint="eastAsia" w:ascii="宋体" w:hAnsi="宋体"/>
                <w:color w:val="auto"/>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b w:val="0"/>
                <w:bCs/>
                <w:color w:val="000000"/>
                <w:sz w:val="20"/>
                <w:szCs w:val="20"/>
              </w:rPr>
              <w:t>道路及街道照明灯具、信号灯具的生产（有许可要求的除外）</w:t>
            </w:r>
            <w:r>
              <w:rPr>
                <w:rFonts w:hint="eastAsia" w:ascii="宋体" w:hAnsi="宋体"/>
                <w:b w:val="0"/>
                <w:bCs/>
                <w:color w:val="000000"/>
                <w:sz w:val="20"/>
                <w:szCs w:val="20"/>
                <w:lang w:eastAsia="zh-CN"/>
              </w:rPr>
              <w:t>。</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b w:val="0"/>
                <w:bCs/>
                <w:color w:val="000000"/>
                <w:sz w:val="20"/>
                <w:szCs w:val="20"/>
              </w:rPr>
              <w:t>高低压配电系统设备、路灯智能控制系统设备的销售</w:t>
            </w:r>
            <w:r>
              <w:rPr>
                <w:rFonts w:hint="eastAsia" w:ascii="宋体" w:hAnsi="宋体"/>
                <w:b w:val="0"/>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管理层、总经办、生产技术部、市场部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总经办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受审核方位于：新都区斑竹园镇鸦雀口社区正方路 50 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黑体" w:hAnsi="黑体" w:eastAsia="黑体" w:cs="黑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黑体" w:hAnsi="黑体" w:eastAsia="黑体" w:cs="黑体"/>
                <w:color w:val="FF0000"/>
                <w:spacing w:val="-10"/>
                <w:sz w:val="20"/>
                <w:szCs w:val="20"/>
              </w:rPr>
              <w:t>■</w:t>
            </w:r>
            <w:r>
              <w:rPr>
                <w:rFonts w:hint="eastAsia" w:ascii="宋体" w:hAnsi="宋体"/>
                <w:color w:val="FF0000"/>
                <w:spacing w:val="-10"/>
                <w:sz w:val="20"/>
                <w:szCs w:val="20"/>
              </w:rPr>
              <w:t>产品技术标准号：</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11"/>
              <w:rPr>
                <w:rFonts w:hint="eastAsia" w:ascii="宋体" w:hAnsi="宋体" w:cs="Times New Roman"/>
                <w:sz w:val="21"/>
                <w:szCs w:val="21"/>
                <w:lang w:eastAsia="zh-CN"/>
              </w:rPr>
            </w:pPr>
            <w:r>
              <w:rPr>
                <w:rFonts w:hint="eastAsia" w:ascii="宋体" w:hAnsi="宋体"/>
                <w:szCs w:val="21"/>
              </w:rPr>
              <w:t>灯杆</w:t>
            </w:r>
            <w:r>
              <w:rPr>
                <w:rFonts w:hint="eastAsia" w:ascii="宋体" w:hAnsi="宋体"/>
                <w:szCs w:val="21"/>
                <w:lang w:val="en-US" w:eastAsia="zh-CN"/>
              </w:rPr>
              <w:t>加工</w:t>
            </w:r>
            <w:r>
              <w:rPr>
                <w:rFonts w:hint="eastAsia" w:ascii="宋体" w:hAnsi="宋体" w:cs="Times New Roman"/>
                <w:sz w:val="21"/>
                <w:szCs w:val="21"/>
              </w:rPr>
              <w:t>工艺流程</w:t>
            </w:r>
            <w:r>
              <w:rPr>
                <w:rFonts w:hint="eastAsia" w:ascii="宋体" w:hAnsi="宋体" w:cs="Times New Roman"/>
                <w:sz w:val="21"/>
                <w:szCs w:val="21"/>
                <w:lang w:eastAsia="zh-CN"/>
              </w:rPr>
              <w:t>：</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下料--折弯成型--焊接--打磨--喷涂--包装入库。</w:t>
            </w:r>
          </w:p>
          <w:p>
            <w:pPr>
              <w:widowControl/>
              <w:spacing w:line="400" w:lineRule="exact"/>
              <w:rPr>
                <w:rFonts w:hint="eastAsia" w:ascii="宋体" w:hAnsi="宋体" w:cs="Times New Roman"/>
                <w:sz w:val="21"/>
                <w:szCs w:val="21"/>
              </w:rPr>
            </w:pPr>
            <w:r>
              <w:rPr>
                <w:rFonts w:hint="eastAsia" w:ascii="宋体" w:hAnsi="宋体" w:cs="Times New Roman"/>
                <w:sz w:val="21"/>
                <w:szCs w:val="21"/>
                <w:lang w:eastAsia="zh-CN"/>
              </w:rPr>
              <w:t>灯</w:t>
            </w:r>
            <w:r>
              <w:rPr>
                <w:rFonts w:hint="eastAsia" w:ascii="宋体" w:hAnsi="宋体" w:cs="Times New Roman"/>
                <w:sz w:val="21"/>
                <w:szCs w:val="21"/>
                <w:lang w:val="en-US" w:eastAsia="zh-CN"/>
              </w:rPr>
              <w:t>罩</w:t>
            </w:r>
            <w:r>
              <w:rPr>
                <w:rFonts w:hint="eastAsia" w:ascii="宋体" w:hAnsi="宋体"/>
                <w:szCs w:val="21"/>
                <w:lang w:val="en-US" w:eastAsia="zh-CN"/>
              </w:rPr>
              <w:t>加工</w:t>
            </w:r>
            <w:r>
              <w:rPr>
                <w:rFonts w:hint="eastAsia" w:ascii="宋体" w:hAnsi="宋体" w:cs="Times New Roman"/>
                <w:sz w:val="21"/>
                <w:szCs w:val="21"/>
              </w:rPr>
              <w:t>工艺流程：</w:t>
            </w:r>
          </w:p>
          <w:p>
            <w:pPr>
              <w:widowControl/>
              <w:spacing w:line="400" w:lineRule="exact"/>
              <w:rPr>
                <w:rFonts w:hint="eastAsia" w:ascii="宋体" w:hAnsi="宋体" w:cs="Times New Roman"/>
                <w:sz w:val="21"/>
                <w:szCs w:val="21"/>
              </w:rPr>
            </w:pPr>
            <w:r>
              <w:rPr>
                <w:rFonts w:hint="eastAsia" w:ascii="宋体" w:hAnsi="宋体" w:cs="Times New Roman"/>
                <w:sz w:val="21"/>
                <w:szCs w:val="21"/>
                <w:lang w:val="en-US" w:eastAsia="zh-CN"/>
              </w:rPr>
              <w:t>原料配比--注塑成型--修边、检验--包装入库</w:t>
            </w:r>
            <w:r>
              <w:rPr>
                <w:rFonts w:hint="eastAsia" w:ascii="宋体" w:hAnsi="宋体" w:cs="Times New Roman"/>
                <w:sz w:val="21"/>
                <w:szCs w:val="21"/>
              </w:rPr>
              <w:t>；</w:t>
            </w:r>
          </w:p>
          <w:p>
            <w:pPr>
              <w:spacing w:line="400" w:lineRule="exact"/>
              <w:rPr>
                <w:rFonts w:hint="eastAsia" w:ascii="宋体" w:hAnsi="宋体" w:cs="Times New Roman"/>
                <w:sz w:val="21"/>
                <w:szCs w:val="21"/>
                <w:lang w:eastAsia="zh-CN"/>
              </w:rPr>
            </w:pPr>
            <w:r>
              <w:rPr>
                <w:rFonts w:hint="eastAsia" w:ascii="宋体" w:hAnsi="宋体" w:cs="Times New Roman"/>
                <w:sz w:val="21"/>
                <w:szCs w:val="21"/>
                <w:lang w:val="en-US" w:eastAsia="zh-CN"/>
              </w:rPr>
              <w:t>产品</w:t>
            </w:r>
            <w:r>
              <w:rPr>
                <w:rFonts w:hint="eastAsia" w:ascii="宋体" w:hAnsi="宋体" w:cs="Times New Roman"/>
                <w:sz w:val="21"/>
                <w:szCs w:val="21"/>
                <w:lang w:eastAsia="zh-CN"/>
              </w:rPr>
              <w:t>销售流程：</w:t>
            </w:r>
          </w:p>
          <w:p>
            <w:pPr>
              <w:spacing w:line="400" w:lineRule="exact"/>
              <w:rPr>
                <w:rFonts w:hint="eastAsia"/>
                <w:color w:val="FF0000"/>
                <w:szCs w:val="21"/>
              </w:rPr>
            </w:pPr>
            <w:r>
              <w:rPr>
                <w:rFonts w:hint="eastAsia" w:ascii="宋体" w:hAnsi="宋体" w:cs="Times New Roman"/>
                <w:sz w:val="21"/>
                <w:szCs w:val="21"/>
                <w:lang w:eastAsia="zh-CN"/>
              </w:rPr>
              <w:t>签订合同→产品采购→产品交付→款项回收→售后维护。</w:t>
            </w:r>
          </w:p>
          <w:p>
            <w:pPr>
              <w:rPr>
                <w:rFonts w:hint="default" w:ascii="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关键过程有：</w:t>
            </w:r>
            <w:r>
              <w:rPr>
                <w:rFonts w:hint="eastAsia" w:ascii="宋体" w:hAnsi="宋体"/>
                <w:color w:val="auto"/>
                <w:sz w:val="20"/>
                <w:szCs w:val="20"/>
                <w:lang w:val="en-US" w:eastAsia="zh-CN"/>
              </w:rPr>
              <w:t>焊接、喷涂、注塑、</w:t>
            </w:r>
            <w:r>
              <w:rPr>
                <w:rFonts w:hint="eastAsia" w:ascii="宋体" w:hAnsi="宋体"/>
                <w:color w:val="auto"/>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生产和服务</w:t>
            </w:r>
            <w:r>
              <w:rPr>
                <w:rFonts w:hint="eastAsia" w:ascii="宋体" w:hAnsi="宋体"/>
                <w:color w:val="auto"/>
                <w:sz w:val="20"/>
                <w:szCs w:val="20"/>
                <w:lang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 w:val="20"/>
                <w:szCs w:val="20"/>
                <w:lang w:val="en-US" w:eastAsia="zh-CN"/>
              </w:rPr>
              <w:t>焊接、喷涂、注塑、</w:t>
            </w:r>
            <w:r>
              <w:rPr>
                <w:rFonts w:hint="eastAsia" w:ascii="宋体" w:hAnsi="宋体"/>
                <w:color w:val="auto"/>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注塑模具加工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外部提供的过程、产品和服务</w:t>
            </w:r>
            <w:r>
              <w:rPr>
                <w:rFonts w:hint="eastAsia" w:ascii="宋体" w:hAnsi="宋体"/>
                <w:color w:val="00000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FF0000"/>
                <w:spacing w:val="-10"/>
                <w:sz w:val="20"/>
                <w:szCs w:val="20"/>
              </w:rPr>
              <w:t>主要设备：</w:t>
            </w:r>
            <w:r>
              <w:rPr>
                <w:rFonts w:hint="eastAsia" w:ascii="宋体" w:hAnsi="宋体"/>
                <w:sz w:val="21"/>
                <w:szCs w:val="21"/>
                <w:lang w:val="en-US" w:eastAsia="zh-CN"/>
              </w:rPr>
              <w:t>校直机、剪板机</w:t>
            </w:r>
            <w:r>
              <w:rPr>
                <w:rFonts w:hint="eastAsia" w:ascii="宋体" w:hAnsi="宋体"/>
                <w:sz w:val="21"/>
                <w:szCs w:val="21"/>
                <w:lang w:eastAsia="zh-CN"/>
              </w:rPr>
              <w:t>、</w:t>
            </w:r>
            <w:r>
              <w:rPr>
                <w:rFonts w:hint="eastAsia" w:ascii="宋体" w:hAnsi="宋体"/>
                <w:sz w:val="21"/>
                <w:szCs w:val="21"/>
                <w:lang w:val="en-US" w:eastAsia="zh-CN"/>
              </w:rPr>
              <w:t>折弯</w:t>
            </w:r>
            <w:r>
              <w:rPr>
                <w:rFonts w:hint="eastAsia" w:ascii="宋体" w:hAnsi="宋体"/>
                <w:sz w:val="21"/>
                <w:szCs w:val="21"/>
                <w:lang w:eastAsia="zh-CN"/>
              </w:rPr>
              <w:t>机、</w:t>
            </w:r>
            <w:r>
              <w:rPr>
                <w:rFonts w:hint="eastAsia" w:ascii="宋体" w:hAnsi="宋体"/>
                <w:sz w:val="21"/>
                <w:szCs w:val="21"/>
                <w:lang w:val="en-US" w:eastAsia="zh-CN"/>
              </w:rPr>
              <w:t>半自动焊接生产线</w:t>
            </w:r>
            <w:r>
              <w:rPr>
                <w:rFonts w:hint="eastAsia" w:ascii="宋体" w:hAnsi="宋体"/>
                <w:sz w:val="21"/>
                <w:szCs w:val="21"/>
                <w:lang w:eastAsia="zh-CN"/>
              </w:rPr>
              <w:t>机、冲床、弯</w:t>
            </w:r>
            <w:r>
              <w:rPr>
                <w:rFonts w:hint="eastAsia" w:ascii="宋体" w:hAnsi="宋体"/>
                <w:sz w:val="21"/>
                <w:szCs w:val="21"/>
                <w:lang w:val="en-US" w:eastAsia="zh-CN"/>
              </w:rPr>
              <w:t>管</w:t>
            </w:r>
            <w:r>
              <w:rPr>
                <w:rFonts w:hint="eastAsia" w:ascii="宋体" w:hAnsi="宋体"/>
                <w:sz w:val="21"/>
                <w:szCs w:val="21"/>
                <w:lang w:eastAsia="zh-CN"/>
              </w:rPr>
              <w:t>机、点焊机、</w:t>
            </w:r>
            <w:r>
              <w:rPr>
                <w:rFonts w:hint="eastAsia" w:ascii="宋体" w:hAnsi="宋体"/>
                <w:sz w:val="21"/>
                <w:szCs w:val="21"/>
                <w:lang w:val="en-US" w:eastAsia="zh-CN"/>
              </w:rPr>
              <w:t>激光切割</w:t>
            </w:r>
            <w:r>
              <w:rPr>
                <w:rFonts w:hint="eastAsia" w:ascii="宋体" w:hAnsi="宋体"/>
                <w:sz w:val="21"/>
                <w:szCs w:val="21"/>
                <w:lang w:eastAsia="zh-CN"/>
              </w:rPr>
              <w:t>机、</w:t>
            </w:r>
            <w:r>
              <w:rPr>
                <w:rFonts w:hint="eastAsia" w:ascii="宋体" w:hAnsi="宋体"/>
                <w:sz w:val="21"/>
                <w:szCs w:val="21"/>
                <w:lang w:val="en-US" w:eastAsia="zh-CN"/>
              </w:rPr>
              <w:t>喷涂生产线、注塑机、行车</w:t>
            </w:r>
            <w:r>
              <w:rPr>
                <w:rFonts w:hint="eastAsia" w:ascii="宋体" w:hAnsi="宋体"/>
                <w:sz w:val="21"/>
                <w:szCs w:val="21"/>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ascii="宋体" w:hAnsi="宋体" w:eastAsia="宋体" w:cs="Times New Roman"/>
                <w:color w:val="auto"/>
                <w:szCs w:val="21"/>
                <w:lang w:eastAsia="zh-CN"/>
              </w:rPr>
              <w:t>游标卡尺、</w:t>
            </w:r>
            <w:r>
              <w:rPr>
                <w:rFonts w:hint="eastAsia" w:ascii="宋体" w:hAnsi="宋体" w:cs="Times New Roman"/>
                <w:color w:val="auto"/>
                <w:szCs w:val="21"/>
                <w:lang w:eastAsia="zh-CN"/>
              </w:rPr>
              <w:t>钢卷尺，</w:t>
            </w:r>
            <w:r>
              <w:rPr>
                <w:rFonts w:hint="eastAsia" w:ascii="宋体" w:hAnsi="宋体" w:cs="Times New Roman"/>
                <w:color w:val="auto"/>
                <w:szCs w:val="21"/>
                <w:lang w:val="en-US" w:eastAsia="zh-CN"/>
              </w:rPr>
              <w:t>千分尺、压力表、绝缘电阻表、数字万用表</w:t>
            </w:r>
            <w:r>
              <w:rPr>
                <w:rFonts w:hint="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生产技术部、市场部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s="宋体"/>
                <w:w w:val="90"/>
                <w:szCs w:val="21"/>
              </w:rPr>
              <w:t>建立有《</w:t>
            </w:r>
            <w:r>
              <w:rPr>
                <w:rFonts w:hint="eastAsia" w:ascii="宋体" w:hAnsi="宋体" w:cs="宋体"/>
                <w:w w:val="90"/>
                <w:szCs w:val="21"/>
                <w:lang w:eastAsia="zh-CN"/>
              </w:rPr>
              <w:t>内审控制程序</w:t>
            </w:r>
            <w:r>
              <w:rPr>
                <w:rFonts w:hint="eastAsia" w:ascii="宋体" w:hAnsi="宋体" w:cs="宋体"/>
                <w:w w:val="90"/>
                <w:szCs w:val="21"/>
              </w:rPr>
              <w:t>》，于</w:t>
            </w:r>
            <w:r>
              <w:rPr>
                <w:rFonts w:hint="eastAsia" w:ascii="宋体" w:hAnsi="宋体" w:cs="宋体"/>
                <w:w w:val="90"/>
                <w:szCs w:val="21"/>
                <w:lang w:eastAsia="zh-CN"/>
              </w:rPr>
              <w:t>2020年</w:t>
            </w:r>
            <w:r>
              <w:rPr>
                <w:rFonts w:hint="eastAsia" w:ascii="宋体" w:hAnsi="宋体" w:cs="宋体"/>
                <w:w w:val="90"/>
                <w:szCs w:val="21"/>
                <w:lang w:val="en-US" w:eastAsia="zh-CN"/>
              </w:rPr>
              <w:t>12</w:t>
            </w:r>
            <w:r>
              <w:rPr>
                <w:rFonts w:hint="eastAsia" w:ascii="宋体" w:hAnsi="宋体" w:cs="宋体"/>
                <w:w w:val="90"/>
                <w:szCs w:val="21"/>
                <w:lang w:eastAsia="zh-CN"/>
              </w:rPr>
              <w:t>月</w:t>
            </w:r>
            <w:r>
              <w:rPr>
                <w:rFonts w:hint="eastAsia" w:ascii="宋体" w:hAnsi="宋体" w:cs="宋体"/>
                <w:w w:val="90"/>
                <w:szCs w:val="21"/>
                <w:lang w:val="en-US" w:eastAsia="zh-CN"/>
              </w:rPr>
              <w:t>11-12日</w:t>
            </w:r>
            <w:r>
              <w:rPr>
                <w:rFonts w:hint="eastAsia" w:ascii="宋体" w:hAnsi="宋体" w:cs="宋体"/>
                <w:w w:val="90"/>
                <w:szCs w:val="21"/>
              </w:rPr>
              <w:t>进行了内部审核。内部审核组组成：</w:t>
            </w:r>
            <w:r>
              <w:rPr>
                <w:rFonts w:hint="eastAsia" w:ascii="宋体" w:hAnsi="宋体" w:cs="宋体"/>
                <w:w w:val="90"/>
                <w:szCs w:val="21"/>
                <w:lang w:eastAsia="zh-CN"/>
              </w:rPr>
              <w:t>组员：王爽</w:t>
            </w:r>
            <w:r>
              <w:rPr>
                <w:rFonts w:hint="eastAsia" w:ascii="宋体" w:hAnsi="宋体" w:cs="宋体"/>
                <w:w w:val="90"/>
                <w:szCs w:val="21"/>
              </w:rPr>
              <w:t xml:space="preserve"> A    </w:t>
            </w:r>
            <w:r>
              <w:rPr>
                <w:rFonts w:hint="eastAsia" w:ascii="宋体" w:hAnsi="宋体" w:cs="宋体"/>
                <w:w w:val="90"/>
                <w:szCs w:val="21"/>
                <w:lang w:eastAsia="zh-CN"/>
              </w:rPr>
              <w:t>组长：张格</w:t>
            </w:r>
            <w:r>
              <w:rPr>
                <w:rFonts w:hint="eastAsia" w:ascii="宋体" w:hAnsi="宋体" w:cs="宋体"/>
                <w:w w:val="90"/>
                <w:szCs w:val="21"/>
              </w:rPr>
              <w:t xml:space="preserve">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仿宋" w:hAnsi="仿宋" w:eastAsia="仿宋"/>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1"/>
                <w:szCs w:val="21"/>
              </w:rPr>
            </w:pPr>
            <w:r>
              <w:rPr>
                <w:rFonts w:hint="eastAsia" w:ascii="宋体" w:hAnsi="宋体"/>
                <w:b/>
                <w:color w:val="000000"/>
                <w:sz w:val="20"/>
                <w:szCs w:val="20"/>
                <w:lang w:val="en-US" w:eastAsia="zh-CN"/>
              </w:rPr>
              <w:t xml:space="preserve"> </w:t>
            </w: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w:t>
            </w:r>
            <w:r>
              <w:rPr>
                <w:rFonts w:hint="eastAsia" w:ascii="仿宋" w:hAnsi="仿宋" w:eastAsia="仿宋"/>
                <w:sz w:val="21"/>
                <w:szCs w:val="21"/>
              </w:rPr>
              <w:t>、生产车间</w:t>
            </w:r>
            <w:r>
              <w:rPr>
                <w:rFonts w:ascii="仿宋" w:hAnsi="仿宋" w:eastAsia="仿宋"/>
                <w:sz w:val="21"/>
                <w:szCs w:val="21"/>
              </w:rPr>
              <w:t>及</w:t>
            </w:r>
            <w:r>
              <w:rPr>
                <w:rFonts w:hint="eastAsia" w:ascii="仿宋" w:hAnsi="仿宋" w:eastAsia="仿宋"/>
                <w:sz w:val="21"/>
                <w:szCs w:val="21"/>
              </w:rPr>
              <w:t>活动场所</w:t>
            </w:r>
            <w:r>
              <w:rPr>
                <w:rFonts w:ascii="仿宋" w:hAnsi="仿宋" w:eastAsia="仿宋"/>
                <w:sz w:val="21"/>
                <w:szCs w:val="21"/>
              </w:rPr>
              <w:t>。</w:t>
            </w:r>
          </w:p>
          <w:p>
            <w:pPr>
              <w:spacing w:line="260" w:lineRule="exact"/>
              <w:rPr>
                <w:rFonts w:hint="default" w:ascii="宋体" w:eastAsia="宋体"/>
                <w:b/>
                <w:color w:val="000000"/>
                <w:sz w:val="20"/>
                <w:szCs w:val="20"/>
                <w:lang w:val="en-US" w:eastAsia="zh-CN"/>
              </w:rPr>
            </w:pPr>
            <w:r>
              <w:rPr>
                <w:rFonts w:hint="eastAsia" w:ascii="仿宋" w:hAnsi="仿宋" w:eastAsia="仿宋"/>
                <w:sz w:val="21"/>
                <w:szCs w:val="21"/>
                <w:lang w:eastAsia="zh-CN"/>
              </w:rPr>
              <w:t>（</w:t>
            </w:r>
            <w:r>
              <w:rPr>
                <w:rFonts w:hint="eastAsia" w:ascii="仿宋" w:hAnsi="仿宋" w:eastAsia="仿宋"/>
                <w:sz w:val="21"/>
                <w:szCs w:val="21"/>
                <w:lang w:val="en-US" w:eastAsia="zh-CN"/>
              </w:rPr>
              <w:t>2</w:t>
            </w:r>
            <w:r>
              <w:rPr>
                <w:rFonts w:hint="eastAsia" w:ascii="仿宋" w:hAnsi="仿宋" w:eastAsia="仿宋"/>
                <w:sz w:val="21"/>
                <w:szCs w:val="21"/>
                <w:lang w:eastAsia="zh-CN"/>
              </w:rPr>
              <w:t>）</w:t>
            </w:r>
            <w:r>
              <w:rPr>
                <w:rFonts w:hint="eastAsia" w:ascii="仿宋" w:hAnsi="仿宋" w:eastAsia="仿宋"/>
                <w:sz w:val="21"/>
                <w:szCs w:val="21"/>
                <w:lang w:val="en-US" w:eastAsia="zh-CN"/>
              </w:rPr>
              <w:t xml:space="preserve"> </w:t>
            </w: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tabs>
                <w:tab w:val="right" w:pos="9332"/>
              </w:tabs>
              <w:spacing w:line="40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default" w:ascii="宋体" w:eastAsia="宋体"/>
                <w:b/>
                <w:color w:val="000000"/>
                <w:sz w:val="20"/>
                <w:szCs w:val="20"/>
                <w:lang w:val="en-US" w:eastAsia="zh-CN"/>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w:t>
            </w:r>
            <w:r>
              <w:rPr>
                <w:rFonts w:hint="eastAsia"/>
                <w:szCs w:val="21"/>
                <w:lang w:eastAsia="zh-CN"/>
              </w:rPr>
              <w:t>管理评审控制程序</w:t>
            </w:r>
            <w:r>
              <w:rPr>
                <w:rFonts w:hint="eastAsia"/>
                <w:szCs w:val="21"/>
              </w:rPr>
              <w:t>》，于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eastAsia="zh-CN"/>
              </w:rPr>
              <w:t>是</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lang w:eastAsia="zh-CN"/>
        </w:rPr>
      </w:pPr>
      <w:r>
        <w:rPr>
          <w:rFonts w:ascii="宋体" w:hAnsi="宋体"/>
          <w:b/>
          <w:color w:val="000000"/>
          <w:sz w:val="20"/>
          <w:szCs w:val="20"/>
        </w:rPr>
        <w:t>QMS:</w:t>
      </w:r>
      <w:r>
        <w:rPr>
          <w:rFonts w:hint="eastAsia" w:ascii="宋体" w:hAnsi="宋体"/>
          <w:b/>
          <w:color w:val="000000"/>
          <w:sz w:val="20"/>
          <w:szCs w:val="20"/>
          <w:u w:val="single"/>
        </w:rPr>
        <w:t>道路及街道照明灯具、信号灯具的生产（有许可要求的除外）及 销售，高低压配电系统设备、路灯智能控制系统设备的销售</w:t>
      </w:r>
      <w:r>
        <w:rPr>
          <w:rFonts w:hint="eastAsia" w:ascii="宋体" w:hAnsi="宋体"/>
          <w:b/>
          <w:color w:val="000000"/>
          <w:sz w:val="20"/>
          <w:szCs w:val="20"/>
          <w:u w:val="single"/>
          <w:lang w:eastAsia="zh-CN"/>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1823085</wp:posOffset>
            </wp:positionH>
            <wp:positionV relativeFrom="paragraph">
              <wp:posOffset>24765</wp:posOffset>
            </wp:positionV>
            <wp:extent cx="689610" cy="431800"/>
            <wp:effectExtent l="0" t="0" r="11430" b="1016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89610" cy="431800"/>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7456" behindDoc="0" locked="0" layoutInCell="1" allowOverlap="1">
            <wp:simplePos x="0" y="0"/>
            <wp:positionH relativeFrom="column">
              <wp:posOffset>1784985</wp:posOffset>
            </wp:positionH>
            <wp:positionV relativeFrom="paragraph">
              <wp:posOffset>37465</wp:posOffset>
            </wp:positionV>
            <wp:extent cx="749935" cy="469900"/>
            <wp:effectExtent l="0" t="0" r="12065" b="254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749935" cy="46990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2021.2.27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sz w:val="24"/>
          <w:szCs w:val="24"/>
        </w:rPr>
        <w:t>四川省浪樱照明工程有限公司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6"/>
              <w:pBdr>
                <w:bottom w:val="none" w:color="auto" w:sz="0" w:space="0"/>
              </w:pBdr>
              <w:tabs>
                <w:tab w:val="center" w:pos="5737"/>
                <w:tab w:val="clear" w:pos="4153"/>
              </w:tabs>
              <w:jc w:val="both"/>
              <w:rPr>
                <w:rFonts w:ascii="Calibri" w:hAnsi="Calibri" w:eastAsia="宋体" w:cs="Times New Roman"/>
                <w:color w:val="000000"/>
                <w:kern w:val="2"/>
                <w:sz w:val="24"/>
                <w:szCs w:val="24"/>
                <w:lang w:val="en-US" w:eastAsia="zh-CN" w:bidi="ar-SA"/>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eastAsia="zh-CN"/>
              </w:rPr>
              <w:t>游标卡尺、钢卷尺，</w:t>
            </w:r>
            <w:r>
              <w:rPr>
                <w:rFonts w:hint="eastAsia" w:ascii="宋体" w:hAnsi="宋体" w:eastAsia="宋体" w:cs="宋体"/>
                <w:sz w:val="21"/>
                <w:szCs w:val="21"/>
                <w:highlight w:val="none"/>
                <w:lang w:val="en-US" w:eastAsia="zh-CN"/>
              </w:rPr>
              <w:t>千分尺、压力表、绝缘电阻表、数字万用表的</w:t>
            </w:r>
            <w:r>
              <w:rPr>
                <w:rFonts w:hint="eastAsia" w:ascii="宋体" w:hAnsi="宋体" w:eastAsia="宋体" w:cs="宋体"/>
                <w:sz w:val="21"/>
                <w:szCs w:val="21"/>
                <w:highlight w:val="none"/>
              </w:rPr>
              <w:t>检定或校准证书，</w:t>
            </w:r>
            <w:r>
              <w:rPr>
                <w:rFonts w:hint="eastAsia" w:ascii="宋体" w:hAnsi="宋体" w:eastAsia="宋体" w:cs="宋体"/>
                <w:sz w:val="21"/>
                <w:szCs w:val="21"/>
                <w:highlight w:val="none"/>
                <w:lang w:val="en-US" w:eastAsia="zh-CN"/>
              </w:rPr>
              <w:t>提供的以上检具的校准证书有效期已过</w:t>
            </w:r>
            <w:r>
              <w:rPr>
                <w:rFonts w:hint="eastAsia" w:ascii="宋体" w:hAnsi="宋体" w:eastAsia="宋体" w:cs="宋体"/>
                <w:sz w:val="21"/>
                <w:szCs w:val="21"/>
                <w:highlight w:val="none"/>
              </w:rPr>
              <w:t>。</w:t>
            </w:r>
          </w:p>
        </w:tc>
        <w:tc>
          <w:tcPr>
            <w:tcW w:w="1688" w:type="dxa"/>
            <w:vAlign w:val="center"/>
          </w:tcPr>
          <w:p>
            <w:pPr>
              <w:pStyle w:val="6"/>
              <w:pBdr>
                <w:bottom w:val="none" w:color="auto" w:sz="0" w:space="0"/>
              </w:pBdr>
              <w:ind w:right="600" w:rightChars="0"/>
              <w:jc w:val="left"/>
              <w:rPr>
                <w:rFonts w:ascii="Calibri" w:hAnsi="Calibri" w:eastAsia="宋体" w:cs="Times New Roman"/>
                <w:color w:val="000000"/>
                <w:kern w:val="2"/>
                <w:sz w:val="32"/>
                <w:szCs w:val="32"/>
                <w:lang w:val="en-US" w:eastAsia="zh-CN" w:bidi="ar-SA"/>
              </w:rPr>
            </w:pPr>
            <w:r>
              <w:rPr>
                <w:rFonts w:hint="eastAsia" w:ascii="宋体" w:hAnsi="宋体"/>
                <w:b/>
                <w:sz w:val="22"/>
                <w:szCs w:val="22"/>
              </w:rPr>
              <w:t xml:space="preserve">GB/T19001:2016 </w:t>
            </w:r>
          </w:p>
        </w:tc>
        <w:tc>
          <w:tcPr>
            <w:tcW w:w="1811" w:type="dxa"/>
            <w:vAlign w:val="center"/>
          </w:tcPr>
          <w:p>
            <w:pPr>
              <w:pStyle w:val="6"/>
              <w:pBdr>
                <w:bottom w:val="none" w:color="auto" w:sz="0" w:space="0"/>
              </w:pBdr>
              <w:ind w:right="600" w:rightChars="0"/>
              <w:jc w:val="both"/>
              <w:rPr>
                <w:rFonts w:ascii="Calibri" w:hAnsi="Calibri" w:eastAsia="宋体" w:cs="Times New Roman"/>
                <w:color w:val="000000"/>
                <w:kern w:val="2"/>
                <w:sz w:val="24"/>
                <w:szCs w:val="24"/>
                <w:lang w:val="en-US" w:eastAsia="zh-CN" w:bidi="ar-SA"/>
              </w:rPr>
            </w:pPr>
            <w:r>
              <w:rPr>
                <w:rFonts w:hint="eastAsia" w:ascii="宋体" w:hAnsi="宋体"/>
                <w:b/>
                <w:sz w:val="22"/>
                <w:szCs w:val="22"/>
              </w:rPr>
              <w:t>7.1.5a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556260</wp:posOffset>
                  </wp:positionH>
                  <wp:positionV relativeFrom="paragraph">
                    <wp:posOffset>146685</wp:posOffset>
                  </wp:positionV>
                  <wp:extent cx="713105" cy="446405"/>
                  <wp:effectExtent l="0" t="0" r="3175"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13105" cy="446405"/>
                          </a:xfrm>
                          <a:prstGeom prst="rect">
                            <a:avLst/>
                          </a:prstGeom>
                          <a:noFill/>
                          <a:ln w="9525">
                            <a:noFill/>
                            <a:miter lim="800000"/>
                            <a:headEnd/>
                            <a:tailEnd/>
                          </a:ln>
                        </pic:spPr>
                      </pic:pic>
                    </a:graphicData>
                  </a:graphic>
                </wp:anchor>
              </w:drawing>
            </w:r>
            <w:r>
              <w:rPr>
                <w:rFonts w:hint="eastAsia" w:ascii="黑体" w:hAnsi="黑体" w:eastAsia="黑体" w:cs="黑体"/>
                <w:b/>
                <w:color w:val="000000"/>
                <w:spacing w:val="-10"/>
                <w:szCs w:val="21"/>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ind w:firstLine="2871" w:firstLineChars="13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bookmarkStart w:id="24" w:name="_GoBack"/>
            <w:bookmarkEnd w:id="24"/>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1" locked="0" layoutInCell="1" allowOverlap="1">
                  <wp:simplePos x="0" y="0"/>
                  <wp:positionH relativeFrom="column">
                    <wp:posOffset>584835</wp:posOffset>
                  </wp:positionH>
                  <wp:positionV relativeFrom="paragraph">
                    <wp:posOffset>202565</wp:posOffset>
                  </wp:positionV>
                  <wp:extent cx="609600" cy="381635"/>
                  <wp:effectExtent l="0" t="0" r="0" b="1460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609600" cy="381635"/>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ascii="黑体" w:hAnsi="黑体" w:eastAsia="黑体" w:cs="黑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27</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C43EF"/>
    <w:rsid w:val="03BB7A90"/>
    <w:rsid w:val="0430046A"/>
    <w:rsid w:val="073418A0"/>
    <w:rsid w:val="07D712D6"/>
    <w:rsid w:val="08230EEE"/>
    <w:rsid w:val="083E3FDD"/>
    <w:rsid w:val="085A4B16"/>
    <w:rsid w:val="09940F39"/>
    <w:rsid w:val="0D3D7340"/>
    <w:rsid w:val="0EF879E8"/>
    <w:rsid w:val="13AF03AB"/>
    <w:rsid w:val="14CE70A1"/>
    <w:rsid w:val="15821F16"/>
    <w:rsid w:val="160F748B"/>
    <w:rsid w:val="17682754"/>
    <w:rsid w:val="17B061B3"/>
    <w:rsid w:val="189E06BD"/>
    <w:rsid w:val="1FD92437"/>
    <w:rsid w:val="1FE829FE"/>
    <w:rsid w:val="20DD5576"/>
    <w:rsid w:val="2101084E"/>
    <w:rsid w:val="214D2273"/>
    <w:rsid w:val="21E22E60"/>
    <w:rsid w:val="222950D2"/>
    <w:rsid w:val="234D76C4"/>
    <w:rsid w:val="27800AB2"/>
    <w:rsid w:val="28926473"/>
    <w:rsid w:val="2BEB6950"/>
    <w:rsid w:val="2D960436"/>
    <w:rsid w:val="2DCC24FE"/>
    <w:rsid w:val="316B25BA"/>
    <w:rsid w:val="34A26D84"/>
    <w:rsid w:val="35302A86"/>
    <w:rsid w:val="35346A4E"/>
    <w:rsid w:val="391A10C2"/>
    <w:rsid w:val="3A230694"/>
    <w:rsid w:val="3C543626"/>
    <w:rsid w:val="3FEC0DDF"/>
    <w:rsid w:val="42383E5F"/>
    <w:rsid w:val="42BF0863"/>
    <w:rsid w:val="43146073"/>
    <w:rsid w:val="44C03140"/>
    <w:rsid w:val="461C7A98"/>
    <w:rsid w:val="48653244"/>
    <w:rsid w:val="4D1C0331"/>
    <w:rsid w:val="50332B9B"/>
    <w:rsid w:val="51C260C8"/>
    <w:rsid w:val="533B4EF6"/>
    <w:rsid w:val="56060D0F"/>
    <w:rsid w:val="57A00F43"/>
    <w:rsid w:val="58527F1B"/>
    <w:rsid w:val="58B33DCE"/>
    <w:rsid w:val="591360BB"/>
    <w:rsid w:val="5B3548FC"/>
    <w:rsid w:val="5BEB2E47"/>
    <w:rsid w:val="61494BFF"/>
    <w:rsid w:val="624B19B7"/>
    <w:rsid w:val="63295017"/>
    <w:rsid w:val="639B36DE"/>
    <w:rsid w:val="653B0234"/>
    <w:rsid w:val="6D9B4A19"/>
    <w:rsid w:val="6E0121C6"/>
    <w:rsid w:val="6E802B4B"/>
    <w:rsid w:val="6F107122"/>
    <w:rsid w:val="6F3553C8"/>
    <w:rsid w:val="700E049F"/>
    <w:rsid w:val="706A7225"/>
    <w:rsid w:val="723E7E4F"/>
    <w:rsid w:val="728B5489"/>
    <w:rsid w:val="76467D3B"/>
    <w:rsid w:val="788C0AFA"/>
    <w:rsid w:val="7AE234E3"/>
    <w:rsid w:val="7AF03B38"/>
    <w:rsid w:val="7BBA6785"/>
    <w:rsid w:val="7D9C5149"/>
    <w:rsid w:val="7F8F7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0"/>
    <w:pPr>
      <w:spacing w:before="40" w:after="40"/>
    </w:pPr>
    <w:rPr>
      <w:szCs w:val="20"/>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2021-03-11T03:31:22Z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