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r>
        <w:rPr>
          <w:rFonts w:hint="eastAsia" w:ascii="MS PGothic" w:hAnsi="MS PGothic"/>
          <w:sz w:val="32"/>
          <w:u w:val="single"/>
        </w:rPr>
        <w:t xml:space="preserve"> </w:t>
      </w:r>
      <w:r>
        <w:rPr>
          <w:rFonts w:ascii="MS PGothic" w:hAnsi="MS PGothic"/>
          <w:sz w:val="32"/>
          <w:u w:val="single"/>
        </w:rPr>
        <w:t xml:space="preserve"> </w:t>
      </w:r>
      <w:r>
        <w:rPr>
          <w:rFonts w:hint="eastAsia" w:ascii="宋体" w:hAnsi="宋体"/>
          <w:sz w:val="32"/>
          <w:u w:val="single"/>
        </w:rPr>
        <w:t xml:space="preserve"> 盐城华远石油机械有限公司 </w:t>
      </w:r>
      <w:r>
        <w:rPr>
          <w:rFonts w:ascii="宋体" w:hAnsi="宋体"/>
          <w:sz w:val="28"/>
          <w:szCs w:val="28"/>
          <w:u w:val="single"/>
        </w:rPr>
        <w:t xml:space="preserve">   </w:t>
      </w:r>
    </w:p>
    <w:p>
      <w:pPr>
        <w:spacing w:line="360" w:lineRule="auto"/>
        <w:jc w:val="left"/>
        <w:rPr>
          <w:rFonts w:ascii="宋体" w:hAnsi="宋体"/>
          <w:spacing w:val="32"/>
          <w:sz w:val="32"/>
          <w:u w:val="single"/>
        </w:rPr>
      </w:pPr>
      <w:r>
        <w:rPr>
          <w:rFonts w:hint="eastAsia" w:ascii="宋体" w:hAnsi="宋体"/>
          <w:spacing w:val="80"/>
          <w:sz w:val="32"/>
        </w:rPr>
        <w:t xml:space="preserve">编 </w:t>
      </w:r>
      <w:r>
        <w:rPr>
          <w:rFonts w:ascii="宋体" w:hAnsi="宋体"/>
          <w:spacing w:val="80"/>
          <w:sz w:val="32"/>
        </w:rPr>
        <w:t xml:space="preserve"> </w:t>
      </w:r>
      <w:r>
        <w:rPr>
          <w:rFonts w:hint="eastAsia" w:ascii="宋体" w:hAnsi="宋体"/>
          <w:spacing w:val="80"/>
          <w:sz w:val="32"/>
        </w:rPr>
        <w:t>号</w:t>
      </w:r>
      <w:r>
        <w:rPr>
          <w:rFonts w:hint="eastAsia" w:ascii="宋体" w:hAnsi="宋体"/>
          <w:sz w:val="32"/>
        </w:rPr>
        <w:t>：</w:t>
      </w:r>
      <w:bookmarkStart w:id="1" w:name="合同编号"/>
      <w:r>
        <w:rPr>
          <w:rFonts w:hint="eastAsia" w:ascii="宋体" w:hAnsi="宋体"/>
          <w:sz w:val="32"/>
        </w:rPr>
        <w:t xml:space="preserve"> </w:t>
      </w:r>
      <w:r>
        <w:rPr>
          <w:rFonts w:ascii="宋体" w:hAnsi="宋体"/>
          <w:sz w:val="32"/>
          <w:u w:val="single"/>
        </w:rPr>
        <w:t xml:space="preserve">      </w:t>
      </w:r>
      <w:r>
        <w:rPr>
          <w:rFonts w:hint="eastAsia" w:ascii="宋体" w:hAnsi="宋体"/>
          <w:sz w:val="32"/>
          <w:u w:val="single"/>
        </w:rPr>
        <w:t xml:space="preserve"> 0122-2018-20</w:t>
      </w:r>
      <w:bookmarkEnd w:id="1"/>
      <w:r>
        <w:rPr>
          <w:rFonts w:hint="eastAsia" w:ascii="宋体" w:hAnsi="宋体"/>
          <w:sz w:val="32"/>
          <w:u w:val="single"/>
          <w:lang w:val="en-US" w:eastAsia="zh-CN"/>
        </w:rPr>
        <w:t>21</w:t>
      </w:r>
      <w:r>
        <w:rPr>
          <w:rFonts w:hint="eastAsia" w:ascii="宋体" w:hAnsi="宋体"/>
          <w:sz w:val="32"/>
          <w:u w:val="single"/>
        </w:rPr>
        <w:t xml:space="preserve">  </w:t>
      </w:r>
      <w:r>
        <w:rPr>
          <w:rFonts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rPr>
        <w:t xml:space="preserve"> </w:t>
      </w:r>
      <w:r>
        <w:rPr>
          <w:rFonts w:ascii="MS PGothic" w:hAnsi="MS PGothic"/>
          <w:sz w:val="32"/>
          <w:u w:val="single"/>
        </w:rPr>
        <w:t xml:space="preserve">    </w:t>
      </w:r>
      <w:r>
        <w:rPr>
          <w:rFonts w:hint="eastAsia" w:ascii="MS PGothic" w:hAnsi="MS PGothic"/>
          <w:sz w:val="32"/>
          <w:u w:val="single"/>
        </w:rPr>
        <w:t>第</w:t>
      </w:r>
      <w:r>
        <w:rPr>
          <w:rFonts w:hint="eastAsia" w:ascii="MS PGothic" w:hAnsi="MS PGothic"/>
          <w:sz w:val="32"/>
          <w:u w:val="single"/>
          <w:lang w:val="en-US" w:eastAsia="zh-CN"/>
        </w:rPr>
        <w:t>二</w:t>
      </w:r>
      <w:r>
        <w:rPr>
          <w:rFonts w:hint="eastAsia" w:ascii="MS PGothic" w:hAnsi="MS PGothic"/>
          <w:sz w:val="32"/>
          <w:u w:val="single"/>
        </w:rPr>
        <w:t>次</w:t>
      </w:r>
      <w:r>
        <w:rPr>
          <w:rFonts w:hint="eastAsia" w:ascii="宋体" w:hAnsi="宋体"/>
          <w:sz w:val="32"/>
          <w:u w:val="single"/>
        </w:rPr>
        <w:t xml:space="preserve">年度监督审核 </w:t>
      </w:r>
      <w:r>
        <w:rPr>
          <w:rFonts w:ascii="宋体" w:hAnsi="宋体"/>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0112-2018-2021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numPr>
          <w:ilvl w:val="0"/>
          <w:numId w:val="1"/>
        </w:numPr>
        <w:spacing w:line="360" w:lineRule="auto"/>
        <w:rPr>
          <w:rFonts w:hint="eastAsia" w:cs="宋体" w:asciiTheme="minorEastAsia" w:hAnsiTheme="minorEastAsia"/>
          <w:b/>
          <w:bCs/>
          <w:kern w:val="0"/>
          <w:szCs w:val="21"/>
        </w:rPr>
      </w:pPr>
      <w:r>
        <w:rPr>
          <w:rFonts w:hint="eastAsia" w:cs="宋体" w:asciiTheme="minorEastAsia" w:hAnsiTheme="minorEastAsia"/>
          <w:b/>
          <w:bCs/>
          <w:kern w:val="0"/>
          <w:szCs w:val="21"/>
        </w:rPr>
        <w:t>基本情况</w:t>
      </w:r>
    </w:p>
    <w:tbl>
      <w:tblPr>
        <w:tblStyle w:val="4"/>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977"/>
        <w:gridCol w:w="155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0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77"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kern w:val="0"/>
                <w:szCs w:val="21"/>
              </w:rPr>
              <w:t>盐城华远石油机械有限公司</w:t>
            </w:r>
          </w:p>
        </w:tc>
        <w:tc>
          <w:tcPr>
            <w:tcW w:w="1559"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kern w:val="0"/>
                <w:szCs w:val="21"/>
              </w:rPr>
              <w:t>刘敬钦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70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77"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rPr>
              <w:t>ISC-2018-0337</w:t>
            </w:r>
          </w:p>
        </w:tc>
        <w:tc>
          <w:tcPr>
            <w:tcW w:w="1559"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rPr>
              <w:t>证书有效期</w:t>
            </w:r>
          </w:p>
        </w:tc>
        <w:tc>
          <w:tcPr>
            <w:tcW w:w="2268"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rPr>
              <w:t>2023年11月22日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0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77"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二</w:t>
            </w:r>
            <w:r>
              <w:rPr>
                <w:rFonts w:hint="eastAsia" w:cs="宋体" w:asciiTheme="minorEastAsia" w:hAnsiTheme="minorEastAsia"/>
                <w:kern w:val="0"/>
                <w:szCs w:val="21"/>
              </w:rPr>
              <w:t>次</w:t>
            </w:r>
          </w:p>
        </w:tc>
        <w:tc>
          <w:tcPr>
            <w:tcW w:w="1559" w:type="dxa"/>
            <w:vAlign w:val="center"/>
          </w:tcPr>
          <w:p>
            <w:r>
              <w:rPr>
                <w:rFonts w:hint="eastAsia"/>
              </w:rPr>
              <w:t>本次监督</w:t>
            </w:r>
            <w:r>
              <w:rPr>
                <w:color w:val="333333"/>
              </w:rPr>
              <w:t>时间</w:t>
            </w:r>
          </w:p>
        </w:tc>
        <w:tc>
          <w:tcPr>
            <w:tcW w:w="2268"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cs="宋体" w:asciiTheme="minorEastAsia" w:hAnsiTheme="minorEastAsia"/>
                <w:kern w:val="0"/>
                <w:szCs w:val="21"/>
              </w:rPr>
              <w:t>20</w:t>
            </w:r>
            <w:r>
              <w:rPr>
                <w:rFonts w:hint="eastAsia" w:cs="宋体" w:asciiTheme="minorEastAsia" w:hAnsiTheme="minorEastAsia"/>
                <w:kern w:val="0"/>
                <w:szCs w:val="21"/>
                <w:lang w:val="en-US" w:eastAsia="zh-CN"/>
              </w:rPr>
              <w:t>21</w:t>
            </w:r>
            <w:r>
              <w:rPr>
                <w:rFonts w:cs="宋体" w:asciiTheme="minorEastAsia" w:hAnsiTheme="minorEastAsia"/>
                <w:kern w:val="0"/>
                <w:szCs w:val="21"/>
              </w:rPr>
              <w:t>年</w:t>
            </w:r>
            <w:r>
              <w:rPr>
                <w:rFonts w:hint="eastAsia" w:cs="宋体" w:asciiTheme="minorEastAsia" w:hAnsiTheme="minorEastAsia"/>
                <w:kern w:val="0"/>
                <w:szCs w:val="21"/>
                <w:lang w:val="en-US" w:eastAsia="zh-CN"/>
              </w:rPr>
              <w:t>3</w:t>
            </w:r>
            <w:r>
              <w:rPr>
                <w:rFonts w:cs="宋体" w:asciiTheme="minorEastAsia" w:hAnsiTheme="minorEastAsia"/>
                <w:kern w:val="0"/>
                <w:szCs w:val="21"/>
              </w:rPr>
              <w:t>月</w:t>
            </w:r>
            <w:r>
              <w:rPr>
                <w:rFonts w:hint="eastAsia" w:cs="宋体" w:asciiTheme="minorEastAsia" w:hAnsiTheme="minorEastAsia"/>
                <w:kern w:val="0"/>
                <w:szCs w:val="21"/>
                <w:lang w:val="en-US" w:eastAsia="zh-CN"/>
              </w:rPr>
              <w:t>24</w:t>
            </w:r>
            <w:r>
              <w:rPr>
                <w:rFonts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70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77" w:type="dxa"/>
            <w:vAlign w:val="center"/>
          </w:tcPr>
          <w:p>
            <w:pPr>
              <w:tabs>
                <w:tab w:val="left" w:pos="880"/>
              </w:tabs>
              <w:autoSpaceDE w:val="0"/>
              <w:autoSpaceDN w:val="0"/>
              <w:adjustRightInd w:val="0"/>
              <w:spacing w:before="35" w:line="276" w:lineRule="auto"/>
              <w:ind w:right="161" w:firstLine="210" w:firstLineChars="100"/>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eastAsia="zh-CN"/>
              </w:rPr>
              <w:t>李俐</w:t>
            </w:r>
            <w:r>
              <w:rPr>
                <w:rFonts w:hint="eastAsia" w:ascii="宋体" w:hAnsi="宋体" w:eastAsia="宋体" w:cs="宋体"/>
                <w:bCs/>
                <w:kern w:val="0"/>
                <w:sz w:val="21"/>
                <w:szCs w:val="21"/>
                <w:lang w:val="en-US" w:eastAsia="zh-CN"/>
              </w:rPr>
              <w:t xml:space="preserve">  </w:t>
            </w:r>
            <w:r>
              <w:rPr>
                <w:rFonts w:hint="eastAsia" w:ascii="宋体" w:hAnsi="宋体" w:eastAsia="宋体" w:cs="宋体"/>
                <w:bCs/>
                <w:kern w:val="0"/>
                <w:sz w:val="21"/>
                <w:szCs w:val="21"/>
              </w:rPr>
              <w:t>ISC[S]00</w:t>
            </w:r>
            <w:r>
              <w:rPr>
                <w:rFonts w:hint="eastAsia" w:ascii="宋体" w:hAnsi="宋体" w:eastAsia="宋体" w:cs="宋体"/>
                <w:bCs/>
                <w:kern w:val="0"/>
                <w:sz w:val="21"/>
                <w:szCs w:val="21"/>
                <w:lang w:val="en-US" w:eastAsia="zh-CN"/>
              </w:rPr>
              <w:t>08</w:t>
            </w:r>
          </w:p>
          <w:p>
            <w:pPr>
              <w:tabs>
                <w:tab w:val="left" w:pos="880"/>
              </w:tabs>
              <w:autoSpaceDE w:val="0"/>
              <w:autoSpaceDN w:val="0"/>
              <w:adjustRightInd w:val="0"/>
              <w:spacing w:before="35" w:line="280" w:lineRule="exact"/>
              <w:ind w:right="159" w:firstLine="210" w:firstLineChars="100"/>
              <w:jc w:val="both"/>
              <w:rPr>
                <w:rFonts w:cs="宋体" w:asciiTheme="minorEastAsia" w:hAnsiTheme="minorEastAsia"/>
                <w:kern w:val="0"/>
                <w:szCs w:val="21"/>
              </w:rPr>
            </w:pPr>
            <w:r>
              <w:rPr>
                <w:rFonts w:hint="eastAsia" w:ascii="宋体" w:hAnsi="宋体" w:eastAsia="宋体" w:cs="宋体"/>
                <w:bCs/>
                <w:kern w:val="0"/>
                <w:sz w:val="21"/>
                <w:szCs w:val="21"/>
                <w:lang w:val="en-US" w:eastAsia="zh-CN"/>
              </w:rPr>
              <w:t xml:space="preserve">郭力  </w:t>
            </w:r>
            <w:r>
              <w:rPr>
                <w:rFonts w:hint="eastAsia" w:ascii="宋体" w:hAnsi="宋体" w:eastAsia="宋体" w:cs="宋体"/>
                <w:bCs/>
                <w:kern w:val="0"/>
                <w:sz w:val="21"/>
                <w:szCs w:val="21"/>
              </w:rPr>
              <w:t>ISC[S]0372</w:t>
            </w:r>
          </w:p>
        </w:tc>
        <w:tc>
          <w:tcPr>
            <w:tcW w:w="1559" w:type="dxa"/>
            <w:vAlign w:val="center"/>
          </w:tcPr>
          <w:p>
            <w:pPr>
              <w:tabs>
                <w:tab w:val="left" w:pos="880"/>
              </w:tabs>
              <w:autoSpaceDE w:val="0"/>
              <w:autoSpaceDN w:val="0"/>
              <w:adjustRightInd w:val="0"/>
              <w:spacing w:before="35" w:line="280" w:lineRule="exact"/>
              <w:ind w:right="159"/>
              <w:jc w:val="center"/>
              <w:rPr>
                <w:rFonts w:cs="宋体" w:asciiTheme="minorEastAsia" w:hAnsiTheme="minorEastAsia"/>
                <w:bCs/>
                <w:kern w:val="0"/>
                <w:szCs w:val="21"/>
              </w:rPr>
            </w:pPr>
            <w:r>
              <w:rPr>
                <w:rFonts w:cs="宋体" w:asciiTheme="minorEastAsia" w:hAnsiTheme="minorEastAsia"/>
                <w:bCs/>
                <w:kern w:val="0"/>
                <w:szCs w:val="21"/>
              </w:rPr>
              <w:t>监督审核涉及的区域</w:t>
            </w:r>
          </w:p>
          <w:p>
            <w:pPr>
              <w:tabs>
                <w:tab w:val="left" w:pos="880"/>
              </w:tabs>
              <w:autoSpaceDE w:val="0"/>
              <w:autoSpaceDN w:val="0"/>
              <w:adjustRightInd w:val="0"/>
              <w:spacing w:before="35" w:line="280" w:lineRule="exact"/>
              <w:ind w:right="159"/>
              <w:jc w:val="center"/>
              <w:rPr>
                <w:rFonts w:cs="宋体" w:asciiTheme="minorEastAsia" w:hAnsiTheme="minorEastAsia"/>
                <w:kern w:val="0"/>
                <w:szCs w:val="21"/>
              </w:rPr>
            </w:pPr>
            <w:r>
              <w:rPr>
                <w:rFonts w:cs="宋体" w:asciiTheme="minorEastAsia" w:hAnsiTheme="minorEastAsia"/>
                <w:bCs/>
                <w:kern w:val="0"/>
                <w:szCs w:val="21"/>
              </w:rPr>
              <w:t>或部门</w:t>
            </w:r>
          </w:p>
        </w:tc>
        <w:tc>
          <w:tcPr>
            <w:tcW w:w="2268" w:type="dxa"/>
            <w:vAlign w:val="center"/>
          </w:tcPr>
          <w:p>
            <w:pPr>
              <w:spacing w:line="280" w:lineRule="exact"/>
              <w:jc w:val="center"/>
              <w:rPr>
                <w:rFonts w:ascii="宋体" w:hAnsi="宋体"/>
                <w:bCs/>
                <w:szCs w:val="21"/>
              </w:rPr>
            </w:pPr>
            <w:r>
              <w:rPr>
                <w:rFonts w:hint="eastAsia" w:ascii="宋体" w:hAnsi="宋体"/>
                <w:bCs/>
                <w:szCs w:val="21"/>
              </w:rPr>
              <w:t>管理层、</w:t>
            </w:r>
            <w:r>
              <w:rPr>
                <w:rFonts w:hint="eastAsia"/>
                <w:szCs w:val="21"/>
              </w:rPr>
              <w:t>办公室</w:t>
            </w:r>
          </w:p>
          <w:p>
            <w:pPr>
              <w:tabs>
                <w:tab w:val="left" w:pos="880"/>
              </w:tabs>
              <w:autoSpaceDE w:val="0"/>
              <w:autoSpaceDN w:val="0"/>
              <w:adjustRightInd w:val="0"/>
              <w:spacing w:before="35" w:line="280" w:lineRule="exact"/>
              <w:ind w:right="159"/>
              <w:jc w:val="center"/>
              <w:rPr>
                <w:rFonts w:eastAsia="新宋体"/>
                <w:szCs w:val="21"/>
              </w:rPr>
            </w:pPr>
            <w:r>
              <w:rPr>
                <w:rFonts w:hint="eastAsia" w:eastAsia="新宋体"/>
                <w:szCs w:val="21"/>
              </w:rPr>
              <w:t>质检部、</w:t>
            </w:r>
            <w:bookmarkStart w:id="8" w:name="_GoBack"/>
            <w:bookmarkEnd w:id="8"/>
            <w:r>
              <w:rPr>
                <w:rFonts w:hint="eastAsia" w:eastAsia="新宋体"/>
                <w:szCs w:val="21"/>
              </w:rPr>
              <w:t>生技部</w:t>
            </w:r>
          </w:p>
          <w:p>
            <w:pPr>
              <w:tabs>
                <w:tab w:val="left" w:pos="880"/>
              </w:tabs>
              <w:autoSpaceDE w:val="0"/>
              <w:autoSpaceDN w:val="0"/>
              <w:adjustRightInd w:val="0"/>
              <w:spacing w:before="35" w:line="280" w:lineRule="exact"/>
              <w:ind w:right="159"/>
              <w:jc w:val="center"/>
              <w:rPr>
                <w:rFonts w:cs="宋体" w:asciiTheme="minorEastAsia" w:hAnsiTheme="minorEastAsia"/>
                <w:color w:val="FF0000"/>
                <w:kern w:val="0"/>
                <w:szCs w:val="21"/>
              </w:rPr>
            </w:pPr>
            <w:r>
              <w:rPr>
                <w:rFonts w:hint="eastAsia" w:eastAsia="新宋体"/>
                <w:szCs w:val="21"/>
              </w:rPr>
              <w:t>（生产车间）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1.一年内违反法律法规或重大事故的情况：</w:t>
      </w:r>
    </w:p>
    <w:p>
      <w:pPr>
        <w:widowControl/>
        <w:spacing w:line="360" w:lineRule="auto"/>
        <w:ind w:firstLine="420" w:firstLineChars="200"/>
        <w:rPr>
          <w:rFonts w:cs="宋体" w:asciiTheme="minorEastAsia" w:hAnsiTheme="minorEastAsia"/>
          <w:bCs/>
          <w:color w:val="FF0000"/>
          <w:kern w:val="0"/>
          <w:szCs w:val="21"/>
        </w:rPr>
      </w:pPr>
      <w:r>
        <w:rPr>
          <w:rFonts w:hint="eastAsia" w:cs="宋体" w:asciiTheme="minorEastAsia" w:hAnsiTheme="minorEastAsia"/>
          <w:bCs/>
          <w:kern w:val="0"/>
          <w:szCs w:val="21"/>
        </w:rPr>
        <w:t>一年内，公司日常运行中生产、经营、安全、销售及行政管理方面，未出现违反法律、法规问题或重大事故发生。</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2.监督审核过程简述：</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为有效评价公司测量管理体系初次审核后一年以来运行情况，在盐城华远石油机械有限公司现场审核中，审核组先、后抽样检查了涉及公司测量体系内的管理、生产、经营、质量和环境等方面的3个职能部门和生产车间，该企业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年度能耗为</w:t>
      </w:r>
      <w:r>
        <w:rPr>
          <w:rFonts w:hint="eastAsia" w:cs="宋体" w:asciiTheme="minorEastAsia" w:hAnsiTheme="minorEastAsia"/>
          <w:bCs/>
          <w:kern w:val="0"/>
          <w:szCs w:val="21"/>
          <w:lang w:val="en-US" w:eastAsia="zh-CN"/>
        </w:rPr>
        <w:t>22</w:t>
      </w:r>
      <w:r>
        <w:rPr>
          <w:rFonts w:hint="eastAsia" w:cs="宋体" w:asciiTheme="minorEastAsia" w:hAnsiTheme="minorEastAsia"/>
          <w:bCs/>
          <w:kern w:val="0"/>
          <w:szCs w:val="21"/>
        </w:rPr>
        <w:t xml:space="preserve">吨标准煤，不是重点耗能单位，企业的能源计量器具的配备率及准确度等级均满足GB17167-2006标准要求。重点抽查了公司计量特征突出的重要环节、主要材料检验、生产工艺质量控制、出厂产品性能检测以及量值溯源系统，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19022-2003标准要求，公司测量管理体系正常有序运行，较好地满足了公司生产、销售和持续发展的需要。 </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3.内部审核和管理评审的情况：</w:t>
      </w:r>
    </w:p>
    <w:p>
      <w:pPr>
        <w:widowControl/>
        <w:spacing w:line="360" w:lineRule="auto"/>
        <w:ind w:firstLine="420" w:firstLineChars="200"/>
        <w:rPr>
          <w:rFonts w:ascii="宋体" w:hAnsi="宋体"/>
          <w:bCs/>
          <w:szCs w:val="21"/>
        </w:rPr>
      </w:pPr>
      <w:bookmarkStart w:id="3" w:name="_Hlk20140731"/>
      <w:r>
        <w:rPr>
          <w:rFonts w:hint="eastAsia" w:ascii="宋体" w:hAnsi="宋体"/>
          <w:bCs/>
          <w:szCs w:val="21"/>
        </w:rPr>
        <w:t>企业每年进行一次内审，于20</w:t>
      </w:r>
      <w:r>
        <w:rPr>
          <w:rFonts w:hint="eastAsia" w:ascii="宋体" w:hAnsi="宋体"/>
          <w:bCs/>
          <w:szCs w:val="21"/>
          <w:lang w:val="en-US" w:eastAsia="zh-CN"/>
        </w:rPr>
        <w:t>20</w:t>
      </w:r>
      <w:r>
        <w:rPr>
          <w:rFonts w:hint="eastAsia" w:ascii="宋体" w:hAnsi="宋体"/>
          <w:bCs/>
          <w:szCs w:val="21"/>
        </w:rPr>
        <w:t>年1</w:t>
      </w:r>
      <w:r>
        <w:rPr>
          <w:rFonts w:hint="eastAsia" w:ascii="宋体" w:hAnsi="宋体"/>
          <w:bCs/>
          <w:szCs w:val="21"/>
          <w:lang w:val="en-US" w:eastAsia="zh-CN"/>
        </w:rPr>
        <w:t>1</w:t>
      </w:r>
      <w:r>
        <w:rPr>
          <w:rFonts w:hint="eastAsia" w:ascii="宋体" w:hAnsi="宋体"/>
          <w:bCs/>
          <w:szCs w:val="21"/>
        </w:rPr>
        <w:t>月</w:t>
      </w:r>
      <w:r>
        <w:rPr>
          <w:rFonts w:hint="eastAsia" w:ascii="宋体" w:hAnsi="宋体"/>
          <w:bCs/>
          <w:szCs w:val="21"/>
          <w:lang w:val="en-US" w:eastAsia="zh-CN"/>
        </w:rPr>
        <w:t>18</w:t>
      </w:r>
      <w:r>
        <w:rPr>
          <w:rFonts w:hint="eastAsia" w:ascii="宋体" w:hAnsi="宋体"/>
          <w:bCs/>
          <w:szCs w:val="21"/>
        </w:rPr>
        <w:t>日组织了公司测量体系内审工作分两组</w:t>
      </w:r>
      <w:r>
        <w:rPr>
          <w:rFonts w:ascii="宋体" w:hAnsi="宋体"/>
          <w:bCs/>
          <w:szCs w:val="21"/>
        </w:rPr>
        <w:t>，</w:t>
      </w:r>
      <w:r>
        <w:rPr>
          <w:rFonts w:hint="eastAsia" w:ascii="宋体" w:hAnsi="宋体"/>
          <w:bCs/>
          <w:szCs w:val="21"/>
        </w:rPr>
        <w:t>对公司4个部门及生产车间进行了全要素的审核，发现了</w:t>
      </w:r>
      <w:r>
        <w:rPr>
          <w:rFonts w:hint="eastAsia" w:ascii="宋体" w:hAnsi="宋体"/>
          <w:bCs/>
          <w:szCs w:val="21"/>
          <w:lang w:val="en-US" w:eastAsia="zh-CN"/>
        </w:rPr>
        <w:t>1</w:t>
      </w:r>
      <w:r>
        <w:rPr>
          <w:rFonts w:hint="eastAsia" w:ascii="宋体" w:hAnsi="宋体"/>
          <w:bCs/>
          <w:szCs w:val="21"/>
        </w:rPr>
        <w:t>个</w:t>
      </w:r>
      <w:r>
        <w:rPr>
          <w:rFonts w:hint="eastAsia" w:ascii="宋体" w:hAnsi="宋体"/>
          <w:bCs/>
          <w:szCs w:val="21"/>
          <w:lang w:val="en-US" w:eastAsia="zh-CN"/>
        </w:rPr>
        <w:t>不符合项</w:t>
      </w:r>
      <w:r>
        <w:rPr>
          <w:rFonts w:hint="eastAsia" w:ascii="宋体" w:hAnsi="宋体"/>
          <w:bCs/>
          <w:szCs w:val="21"/>
        </w:rPr>
        <w:t>，并在</w:t>
      </w:r>
      <w:r>
        <w:rPr>
          <w:rFonts w:hint="eastAsia" w:ascii="宋体" w:hAnsi="宋体"/>
          <w:bCs/>
          <w:szCs w:val="21"/>
          <w:lang w:val="en-US" w:eastAsia="zh-CN"/>
        </w:rPr>
        <w:t>2020年11月22日前</w:t>
      </w:r>
      <w:r>
        <w:rPr>
          <w:rFonts w:hint="eastAsia" w:ascii="宋体" w:hAnsi="宋体"/>
          <w:bCs/>
          <w:szCs w:val="21"/>
        </w:rPr>
        <w:t>完成了整改</w:t>
      </w:r>
      <w:r>
        <w:rPr>
          <w:rFonts w:hint="eastAsia" w:ascii="宋体" w:hAnsi="宋体"/>
          <w:bCs/>
          <w:szCs w:val="21"/>
          <w:lang w:eastAsia="zh-CN"/>
        </w:rPr>
        <w:t>；</w:t>
      </w:r>
      <w:bookmarkEnd w:id="3"/>
      <w:bookmarkStart w:id="4" w:name="_Hlk20140752"/>
    </w:p>
    <w:p>
      <w:pPr>
        <w:widowControl/>
        <w:spacing w:line="360" w:lineRule="auto"/>
        <w:ind w:firstLine="420" w:firstLineChars="200"/>
        <w:rPr>
          <w:rFonts w:cs="宋体" w:asciiTheme="minorEastAsia" w:hAnsiTheme="minorEastAsia"/>
          <w:bCs/>
          <w:color w:val="FF0000"/>
          <w:kern w:val="0"/>
          <w:szCs w:val="21"/>
        </w:rPr>
      </w:pPr>
      <w:r>
        <w:rPr>
          <w:rFonts w:hint="eastAsia" w:ascii="等线" w:hAnsi="等线" w:cs="宋体"/>
          <w:bCs/>
          <w:kern w:val="0"/>
          <w:szCs w:val="21"/>
        </w:rPr>
        <w:t>20</w:t>
      </w:r>
      <w:r>
        <w:rPr>
          <w:rFonts w:hint="eastAsia" w:ascii="等线" w:hAnsi="等线" w:cs="宋体"/>
          <w:bCs/>
          <w:kern w:val="0"/>
          <w:szCs w:val="21"/>
          <w:lang w:val="en-US" w:eastAsia="zh-CN"/>
        </w:rPr>
        <w:t>20</w:t>
      </w:r>
      <w:r>
        <w:rPr>
          <w:rFonts w:hint="eastAsia" w:ascii="等线" w:hAnsi="等线" w:cs="宋体"/>
          <w:bCs/>
          <w:kern w:val="0"/>
          <w:szCs w:val="21"/>
        </w:rPr>
        <w:t>年11月</w:t>
      </w:r>
      <w:r>
        <w:rPr>
          <w:rFonts w:hint="eastAsia" w:ascii="等线" w:hAnsi="等线" w:cs="宋体"/>
          <w:bCs/>
          <w:kern w:val="0"/>
          <w:szCs w:val="21"/>
          <w:lang w:val="en-US" w:eastAsia="zh-CN"/>
        </w:rPr>
        <w:t>26</w:t>
      </w:r>
      <w:r>
        <w:rPr>
          <w:rFonts w:hint="eastAsia" w:ascii="等线" w:hAnsi="等线" w:cs="宋体"/>
          <w:bCs/>
          <w:kern w:val="0"/>
          <w:szCs w:val="21"/>
        </w:rPr>
        <w:t>日进行了管理评审，</w:t>
      </w:r>
      <w:r>
        <w:rPr>
          <w:rFonts w:hint="eastAsia" w:ascii="宋体" w:hAnsi="宋体" w:cs="黑体"/>
          <w:szCs w:val="21"/>
        </w:rPr>
        <w:t>会议</w:t>
      </w:r>
      <w:r>
        <w:rPr>
          <w:rFonts w:ascii="宋体" w:hAnsi="宋体" w:cs="黑体"/>
          <w:szCs w:val="21"/>
        </w:rPr>
        <w:t>由</w:t>
      </w:r>
      <w:r>
        <w:rPr>
          <w:rFonts w:hint="eastAsia" w:ascii="宋体" w:hAnsi="宋体" w:cs="黑体"/>
          <w:szCs w:val="21"/>
        </w:rPr>
        <w:t>公司的总经理王传荣主持，管代刘敬钦及各部门</w:t>
      </w:r>
      <w:r>
        <w:rPr>
          <w:rFonts w:ascii="宋体" w:hAnsi="宋体" w:cs="黑体"/>
          <w:szCs w:val="21"/>
        </w:rPr>
        <w:t>汇报了</w:t>
      </w:r>
      <w:r>
        <w:rPr>
          <w:rFonts w:hint="eastAsia" w:ascii="宋体" w:hAnsi="宋体" w:cs="黑体"/>
          <w:szCs w:val="21"/>
        </w:rPr>
        <w:t>测量</w:t>
      </w:r>
      <w:r>
        <w:rPr>
          <w:rFonts w:ascii="宋体" w:hAnsi="宋体" w:cs="黑体"/>
          <w:szCs w:val="21"/>
        </w:rPr>
        <w:t>体系</w:t>
      </w:r>
      <w:r>
        <w:rPr>
          <w:rFonts w:hint="eastAsia" w:ascii="宋体" w:hAnsi="宋体" w:cs="黑体"/>
          <w:szCs w:val="21"/>
        </w:rPr>
        <w:t>各项工作的</w:t>
      </w:r>
      <w:r>
        <w:rPr>
          <w:rFonts w:ascii="宋体" w:hAnsi="宋体" w:cs="黑体"/>
          <w:szCs w:val="21"/>
        </w:rPr>
        <w:t>运行情况</w:t>
      </w:r>
      <w:bookmarkStart w:id="5" w:name="_Hlk20140852"/>
      <w:r>
        <w:rPr>
          <w:rFonts w:hint="eastAsia" w:ascii="宋体" w:hAnsi="宋体" w:cs="黑体"/>
          <w:szCs w:val="21"/>
        </w:rPr>
        <w:t>，会议分析了体系运行中存在的问题和不足和改进的建议，并制订了测量体系持续改进措施表，形成测量体系管理评审报告，肯定了公司测量管理体系的质量方针目标策划到位，整个测量管理体系实施运行的过程处于受控，有效和适宜。</w:t>
      </w:r>
      <w:bookmarkEnd w:id="4"/>
      <w:bookmarkEnd w:id="5"/>
      <w:r>
        <w:rPr>
          <w:rFonts w:hint="eastAsia" w:cs="宋体" w:asciiTheme="minorEastAsia" w:hAnsiTheme="minorEastAsia"/>
          <w:bCs/>
          <w:color w:val="FF0000"/>
          <w:kern w:val="0"/>
          <w:szCs w:val="21"/>
        </w:rPr>
        <w:t xml:space="preserve"> </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4.</w:t>
      </w:r>
      <w:r>
        <w:rPr>
          <w:rFonts w:hint="eastAsia"/>
        </w:rPr>
        <w:t xml:space="preserve"> </w:t>
      </w:r>
      <w:r>
        <w:rPr>
          <w:rFonts w:hint="eastAsia" w:cs="宋体" w:asciiTheme="minorEastAsia" w:hAnsiTheme="minorEastAsia"/>
          <w:bCs/>
          <w:kern w:val="0"/>
          <w:szCs w:val="21"/>
        </w:rPr>
        <w:t>为持续改进而策划的活动的进展 ，包括：(a)计量要求的导出、b)测量不确定评定、c)有效性确认、d)测量过程的控制、 e)测量过程的监视)</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4.1</w:t>
      </w:r>
      <w:r>
        <w:rPr>
          <w:rFonts w:cs="宋体" w:asciiTheme="minorEastAsia" w:hAnsiTheme="minorEastAsia"/>
          <w:bCs/>
          <w:kern w:val="0"/>
          <w:szCs w:val="21"/>
        </w:rPr>
        <w:t xml:space="preserve"> </w:t>
      </w:r>
      <w:r>
        <w:rPr>
          <w:rFonts w:hint="eastAsia" w:cs="宋体" w:asciiTheme="minorEastAsia" w:hAnsiTheme="minorEastAsia"/>
          <w:bCs/>
          <w:kern w:val="0"/>
          <w:szCs w:val="21"/>
          <w:lang w:val="en-US" w:eastAsia="zh-CN"/>
        </w:rPr>
        <w:t>2020年</w:t>
      </w:r>
      <w:r>
        <w:rPr>
          <w:rFonts w:hint="eastAsia" w:cs="宋体" w:asciiTheme="minorEastAsia" w:hAnsiTheme="minorEastAsia"/>
          <w:bCs/>
          <w:kern w:val="0"/>
          <w:szCs w:val="21"/>
        </w:rPr>
        <w:t>，新增</w:t>
      </w:r>
      <w:r>
        <w:rPr>
          <w:rFonts w:hint="eastAsia" w:cs="宋体" w:asciiTheme="minorEastAsia" w:hAnsiTheme="minorEastAsia"/>
          <w:bCs/>
          <w:kern w:val="0"/>
          <w:szCs w:val="21"/>
          <w:lang w:val="en-US" w:eastAsia="zh-CN"/>
        </w:rPr>
        <w:t>一个</w:t>
      </w:r>
      <w:r>
        <w:rPr>
          <w:rFonts w:hint="eastAsia" w:cs="宋体" w:asciiTheme="minorEastAsia" w:hAnsiTheme="minorEastAsia"/>
          <w:bCs/>
          <w:kern w:val="0"/>
          <w:szCs w:val="21"/>
        </w:rPr>
        <w:t>测量过程</w:t>
      </w:r>
      <w:r>
        <w:rPr>
          <w:rFonts w:hint="eastAsia" w:cs="宋体" w:asciiTheme="minorEastAsia" w:hAnsiTheme="minorEastAsia"/>
          <w:bCs/>
          <w:kern w:val="0"/>
          <w:szCs w:val="21"/>
          <w:lang w:eastAsia="zh-CN"/>
        </w:rPr>
        <w:t>：</w:t>
      </w:r>
      <w:r>
        <w:rPr>
          <w:rFonts w:hint="eastAsia"/>
          <w:lang w:val="en-US" w:eastAsia="zh-CN"/>
        </w:rPr>
        <w:t>抽油泵密封性</w:t>
      </w:r>
      <w:r>
        <w:rPr>
          <w:rFonts w:hint="eastAsia"/>
        </w:rPr>
        <w:t>测量过程</w:t>
      </w:r>
      <w:r>
        <w:rPr>
          <w:rFonts w:hint="eastAsia"/>
          <w:lang w:eastAsia="zh-CN"/>
        </w:rPr>
        <w:t>，</w:t>
      </w:r>
      <w:r>
        <w:rPr>
          <w:rFonts w:hint="eastAsia" w:cs="宋体" w:asciiTheme="minorEastAsia" w:hAnsiTheme="minorEastAsia"/>
          <w:bCs/>
          <w:kern w:val="0"/>
          <w:szCs w:val="21"/>
        </w:rPr>
        <w:t>此次监督审核检查了企业对已识别的</w:t>
      </w:r>
      <w:r>
        <w:rPr>
          <w:rFonts w:hint="eastAsia" w:cs="宋体" w:asciiTheme="minorEastAsia" w:hAnsiTheme="minorEastAsia"/>
          <w:bCs/>
          <w:kern w:val="0"/>
          <w:szCs w:val="21"/>
          <w:lang w:val="en-US" w:eastAsia="zh-CN"/>
        </w:rPr>
        <w:t>18</w:t>
      </w:r>
      <w:r>
        <w:rPr>
          <w:rFonts w:hint="eastAsia" w:cs="宋体" w:asciiTheme="minorEastAsia" w:hAnsiTheme="minorEastAsia"/>
          <w:bCs/>
          <w:kern w:val="0"/>
          <w:szCs w:val="21"/>
        </w:rPr>
        <w:t>个关键测量过程：抽查了</w:t>
      </w:r>
      <w:r>
        <w:rPr>
          <w:rFonts w:hint="eastAsia"/>
          <w:lang w:val="en-US" w:eastAsia="zh-CN"/>
        </w:rPr>
        <w:t>抽油泵密封性</w:t>
      </w:r>
      <w:r>
        <w:rPr>
          <w:rFonts w:hint="eastAsia"/>
        </w:rPr>
        <w:t>测量过程</w:t>
      </w:r>
      <w:r>
        <w:rPr>
          <w:rFonts w:hint="eastAsia"/>
          <w:lang w:eastAsia="zh-CN"/>
        </w:rPr>
        <w:t>、</w:t>
      </w:r>
      <w:r>
        <w:rPr>
          <w:rFonts w:hint="eastAsia" w:cs="宋体" w:asciiTheme="minorEastAsia" w:hAnsiTheme="minorEastAsia"/>
          <w:bCs/>
          <w:kern w:val="0"/>
          <w:szCs w:val="21"/>
        </w:rPr>
        <w:t>产品热处理硬度测量过程、扶正器内径测量、下动凡尔罩内径检测过程、</w:t>
      </w:r>
      <w:r>
        <w:rPr>
          <w:rFonts w:hint="eastAsia" w:cs="宋体" w:asciiTheme="minorEastAsia" w:hAnsiTheme="minorEastAsia"/>
          <w:bCs/>
          <w:kern w:val="0"/>
          <w:szCs w:val="21"/>
          <w:lang w:eastAsia="zh-CN"/>
        </w:rPr>
        <w:t>抽油泵密封性测量过程</w:t>
      </w:r>
      <w:r>
        <w:rPr>
          <w:rFonts w:hint="eastAsia" w:cs="宋体" w:asciiTheme="minorEastAsia" w:hAnsiTheme="minorEastAsia"/>
          <w:bCs/>
          <w:kern w:val="0"/>
          <w:szCs w:val="21"/>
        </w:rPr>
        <w:t>、泵筒镀铬前后内径测量过程、整泵漏失量试验过程等，对高度控制的测量过程能进行有效性控制、监视，记录、监视控制图齐全，完整；</w:t>
      </w:r>
      <w:r>
        <w:rPr>
          <w:rFonts w:hint="eastAsia" w:cs="宋体" w:asciiTheme="minorEastAsia" w:hAnsiTheme="minorEastAsia"/>
          <w:bCs/>
          <w:kern w:val="0"/>
          <w:szCs w:val="21"/>
          <w:lang w:val="en-US" w:eastAsia="zh-CN"/>
        </w:rPr>
        <w:t>重点</w:t>
      </w:r>
      <w:r>
        <w:rPr>
          <w:rFonts w:hint="eastAsia" w:cs="宋体" w:asciiTheme="minorEastAsia" w:hAnsiTheme="minorEastAsia"/>
          <w:bCs/>
          <w:kern w:val="0"/>
          <w:szCs w:val="21"/>
        </w:rPr>
        <w:t>抽查了关键测量过程“</w:t>
      </w:r>
      <w:r>
        <w:rPr>
          <w:rFonts w:hint="eastAsia" w:cs="宋体" w:asciiTheme="minorEastAsia" w:hAnsiTheme="minorEastAsia"/>
          <w:bCs/>
          <w:kern w:val="0"/>
          <w:szCs w:val="21"/>
          <w:lang w:eastAsia="zh-CN"/>
        </w:rPr>
        <w:t>抽油泵密封性测量过程</w:t>
      </w:r>
      <w:r>
        <w:rPr>
          <w:rFonts w:hint="eastAsia" w:cs="宋体" w:asciiTheme="minorEastAsia" w:hAnsiTheme="minorEastAsia"/>
          <w:bCs/>
          <w:kern w:val="0"/>
          <w:szCs w:val="21"/>
        </w:rPr>
        <w:t>”：计量要求的导出正确，配备的测量设备，已校准并经计量验证通过，验证方法正确，经过了测量过程不确定度评定、测量过程有效性确认，方法正确；详见</w:t>
      </w:r>
      <w:r>
        <w:rPr>
          <w:rFonts w:hint="eastAsia" w:cs="宋体" w:asciiTheme="minorEastAsia" w:hAnsiTheme="minorEastAsia"/>
          <w:bCs/>
          <w:kern w:val="0"/>
          <w:szCs w:val="21"/>
          <w:lang w:eastAsia="zh-CN"/>
        </w:rPr>
        <w:t>抽油泵密封性测量过程</w:t>
      </w:r>
      <w:r>
        <w:rPr>
          <w:rFonts w:hint="eastAsia" w:cs="宋体" w:asciiTheme="minorEastAsia" w:hAnsiTheme="minorEastAsia"/>
          <w:bCs/>
          <w:kern w:val="0"/>
          <w:szCs w:val="21"/>
        </w:rPr>
        <w:t>《计量要求导出与验证记录表》、《测量过程控制检查表》及附件《</w:t>
      </w:r>
      <w:r>
        <w:rPr>
          <w:rFonts w:hint="eastAsia" w:cs="宋体" w:asciiTheme="minorEastAsia" w:hAnsiTheme="minorEastAsia"/>
          <w:bCs/>
          <w:kern w:val="0"/>
          <w:szCs w:val="21"/>
          <w:lang w:eastAsia="zh-CN"/>
        </w:rPr>
        <w:t>抽油泵密封性测量过程</w:t>
      </w:r>
      <w:r>
        <w:rPr>
          <w:rFonts w:hint="eastAsia" w:cs="宋体" w:asciiTheme="minorEastAsia" w:hAnsiTheme="minorEastAsia"/>
          <w:bCs/>
          <w:kern w:val="0"/>
          <w:szCs w:val="21"/>
        </w:rPr>
        <w:t>不确定度评定》、《测量过程有效性确认记录》。</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企业对计量确认过程和测量过程按照计划频次进行了持续监视。检查了《测量设备计量确认记录》， 测量过程的监视方法和监视频次，均满足控制规范要求。详见《</w:t>
      </w:r>
      <w:r>
        <w:rPr>
          <w:rFonts w:hint="eastAsia" w:cs="宋体" w:asciiTheme="minorEastAsia" w:hAnsiTheme="minorEastAsia"/>
          <w:bCs/>
          <w:kern w:val="0"/>
          <w:szCs w:val="21"/>
          <w:lang w:eastAsia="zh-CN"/>
        </w:rPr>
        <w:t>抽油泵密封性测量过程</w:t>
      </w:r>
      <w:r>
        <w:rPr>
          <w:rFonts w:hint="eastAsia" w:cs="宋体" w:asciiTheme="minorEastAsia" w:hAnsiTheme="minorEastAsia"/>
          <w:bCs/>
          <w:kern w:val="0"/>
          <w:szCs w:val="21"/>
          <w:lang w:val="en-US" w:eastAsia="zh-CN"/>
        </w:rPr>
        <w:t>比对</w:t>
      </w:r>
      <w:r>
        <w:rPr>
          <w:rFonts w:hint="eastAsia" w:cs="宋体" w:asciiTheme="minorEastAsia" w:hAnsiTheme="minorEastAsia"/>
          <w:bCs/>
          <w:kern w:val="0"/>
          <w:szCs w:val="21"/>
        </w:rPr>
        <w:t>记录表》。</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asciiTheme="minorEastAsia" w:hAnsiTheme="minorEastAsia"/>
          <w:bCs/>
          <w:szCs w:val="21"/>
        </w:rPr>
      </w:pPr>
      <w:r>
        <w:rPr>
          <w:rFonts w:hint="eastAsia" w:cs="宋体" w:asciiTheme="minorEastAsia" w:hAnsiTheme="minorEastAsia"/>
          <w:kern w:val="0"/>
          <w:szCs w:val="21"/>
        </w:rPr>
        <w:t>4.</w:t>
      </w:r>
      <w:r>
        <w:rPr>
          <w:rFonts w:hint="eastAsia" w:cs="宋体" w:asciiTheme="minorEastAsia" w:hAnsiTheme="minorEastAsia"/>
          <w:kern w:val="0"/>
          <w:szCs w:val="21"/>
          <w:lang w:val="en-US" w:eastAsia="zh-CN"/>
        </w:rPr>
        <w:t>2</w:t>
      </w:r>
      <w:r>
        <w:rPr>
          <w:rFonts w:cs="宋体" w:asciiTheme="minorEastAsia" w:hAnsiTheme="minorEastAsia"/>
          <w:kern w:val="0"/>
          <w:szCs w:val="21"/>
        </w:rPr>
        <w:t xml:space="preserve"> </w:t>
      </w:r>
      <w:r>
        <w:rPr>
          <w:rFonts w:hint="eastAsia" w:ascii="宋体" w:hAnsi="宋体"/>
          <w:szCs w:val="21"/>
          <w:lang w:eastAsia="zh-CN"/>
        </w:rPr>
        <w:t>公司</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kern w:val="0"/>
          <w:szCs w:val="21"/>
        </w:rPr>
      </w:pPr>
      <w:r>
        <w:rPr>
          <w:rFonts w:hint="eastAsia" w:cs="宋体" w:asciiTheme="minorEastAsia" w:hAnsiTheme="minorEastAsia"/>
          <w:kern w:val="0"/>
          <w:szCs w:val="21"/>
        </w:rPr>
        <w:t>4</w:t>
      </w: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kern w:val="0"/>
          <w:szCs w:val="21"/>
        </w:rPr>
        <w:t>20</w:t>
      </w:r>
      <w:r>
        <w:rPr>
          <w:rFonts w:hint="eastAsia" w:cs="宋体" w:asciiTheme="minorEastAsia" w:hAnsiTheme="minorEastAsia"/>
          <w:kern w:val="0"/>
          <w:szCs w:val="21"/>
          <w:lang w:eastAsia="zh-CN"/>
        </w:rPr>
        <w:t>20</w:t>
      </w:r>
      <w:r>
        <w:rPr>
          <w:rFonts w:hint="eastAsia" w:cs="宋体" w:asciiTheme="minorEastAsia" w:hAnsiTheme="minorEastAsia"/>
          <w:kern w:val="0"/>
          <w:szCs w:val="21"/>
          <w:lang w:val="en-US" w:eastAsia="zh-CN"/>
        </w:rPr>
        <w:t>-2021</w:t>
      </w:r>
      <w:r>
        <w:rPr>
          <w:rFonts w:hint="eastAsia" w:cs="宋体" w:asciiTheme="minorEastAsia" w:hAnsiTheme="minorEastAsia"/>
          <w:kern w:val="0"/>
          <w:szCs w:val="21"/>
        </w:rPr>
        <w:t>年质量目标考核细则已确认，并按规定的内容和时间进行</w:t>
      </w:r>
      <w:r>
        <w:rPr>
          <w:rFonts w:hint="eastAsia" w:cs="宋体" w:asciiTheme="minorEastAsia" w:hAnsiTheme="minorEastAsia"/>
          <w:kern w:val="0"/>
          <w:szCs w:val="21"/>
          <w:lang w:val="en-US" w:eastAsia="zh-CN"/>
        </w:rPr>
        <w:t>了</w:t>
      </w:r>
      <w:r>
        <w:rPr>
          <w:rFonts w:hint="eastAsia" w:cs="宋体" w:asciiTheme="minorEastAsia" w:hAnsiTheme="minorEastAsia"/>
          <w:kern w:val="0"/>
          <w:szCs w:val="21"/>
        </w:rPr>
        <w:t>考核，年度质量目标完成情况较好；</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rPr>
      </w:pPr>
      <w:r>
        <w:rPr>
          <w:rFonts w:hint="eastAsia" w:cs="宋体" w:asciiTheme="minorEastAsia" w:hAnsiTheme="minorEastAsia"/>
          <w:kern w:val="0"/>
          <w:szCs w:val="21"/>
        </w:rPr>
        <w:t>4.</w:t>
      </w:r>
      <w:r>
        <w:rPr>
          <w:rFonts w:hint="eastAsia" w:cs="宋体" w:asciiTheme="minorEastAsia" w:hAnsiTheme="minorEastAsia"/>
          <w:kern w:val="0"/>
          <w:szCs w:val="21"/>
          <w:lang w:val="en-US" w:eastAsia="zh-CN"/>
        </w:rPr>
        <w:t>4</w:t>
      </w:r>
      <w:r>
        <w:rPr>
          <w:rFonts w:hint="eastAsia" w:cs="宋体" w:asciiTheme="minorEastAsia" w:hAnsiTheme="minorEastAsia"/>
          <w:kern w:val="0"/>
          <w:szCs w:val="21"/>
        </w:rPr>
        <w:t xml:space="preserve"> 企业</w:t>
      </w:r>
      <w:r>
        <w:rPr>
          <w:rFonts w:hint="eastAsia" w:cs="宋体" w:asciiTheme="minorEastAsia" w:hAnsiTheme="minorEastAsia"/>
          <w:kern w:val="0"/>
          <w:szCs w:val="21"/>
          <w:lang w:val="en-US" w:eastAsia="zh-CN"/>
        </w:rPr>
        <w:t>未建立建立</w:t>
      </w:r>
      <w:r>
        <w:rPr>
          <w:rFonts w:hint="eastAsia" w:cs="宋体" w:asciiTheme="minorEastAsia" w:hAnsiTheme="minorEastAsia"/>
          <w:kern w:val="0"/>
          <w:szCs w:val="21"/>
        </w:rPr>
        <w:t>标准器，在用的测量设备全部委外检定、校准</w:t>
      </w:r>
      <w:r>
        <w:rPr>
          <w:rFonts w:hint="eastAsia" w:cs="宋体" w:asciiTheme="minorEastAsia" w:hAnsiTheme="minorEastAsia"/>
          <w:kern w:val="0"/>
          <w:szCs w:val="21"/>
          <w:lang w:eastAsia="zh-CN"/>
        </w:rPr>
        <w:t>，</w:t>
      </w:r>
      <w:r>
        <w:rPr>
          <w:rFonts w:hint="eastAsia" w:cs="宋体" w:asciiTheme="minorEastAsia" w:hAnsiTheme="minorEastAsia"/>
          <w:kern w:val="0"/>
          <w:szCs w:val="21"/>
        </w:rPr>
        <w:t>检定校准单位为</w:t>
      </w:r>
      <w:r>
        <w:rPr>
          <w:rFonts w:hint="eastAsia"/>
          <w:szCs w:val="21"/>
          <w:lang w:val="en-US" w:eastAsia="zh-CN"/>
        </w:rPr>
        <w:t>江苏华质检测</w:t>
      </w:r>
      <w:r>
        <w:rPr>
          <w:rFonts w:hint="eastAsia"/>
          <w:szCs w:val="21"/>
        </w:rPr>
        <w:t>技术有限公司</w:t>
      </w:r>
      <w:r>
        <w:rPr>
          <w:rFonts w:hint="eastAsia"/>
          <w:szCs w:val="21"/>
          <w:lang w:eastAsia="zh-CN"/>
        </w:rPr>
        <w:t>，</w:t>
      </w:r>
      <w:r>
        <w:rPr>
          <w:rFonts w:hint="eastAsia"/>
          <w:szCs w:val="21"/>
          <w:lang w:val="en-US" w:eastAsia="zh-CN"/>
        </w:rPr>
        <w:t>溯源性满足要求。</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5.对认证审核时提出的不符合项的纠正措施情况有表述：</w:t>
      </w:r>
    </w:p>
    <w:p>
      <w:pPr>
        <w:widowControl/>
        <w:spacing w:line="360" w:lineRule="auto"/>
        <w:ind w:firstLine="420" w:firstLineChars="200"/>
        <w:rPr>
          <w:rFonts w:hint="eastAsia" w:cs="宋体" w:asciiTheme="minorEastAsia" w:hAnsiTheme="minorEastAsia" w:eastAsiaTheme="minorEastAsia"/>
          <w:bCs/>
          <w:kern w:val="0"/>
          <w:szCs w:val="21"/>
          <w:lang w:eastAsia="zh-CN"/>
        </w:rPr>
      </w:pPr>
      <w:r>
        <w:rPr>
          <w:rFonts w:hint="eastAsia" w:cs="宋体" w:asciiTheme="minorEastAsia" w:hAnsiTheme="minorEastAsia"/>
          <w:bCs/>
          <w:kern w:val="0"/>
          <w:szCs w:val="21"/>
        </w:rPr>
        <w:t>去年对企业的</w:t>
      </w:r>
      <w:r>
        <w:rPr>
          <w:rFonts w:hint="eastAsia" w:cs="宋体" w:asciiTheme="minorEastAsia" w:hAnsiTheme="minorEastAsia"/>
          <w:bCs/>
          <w:kern w:val="0"/>
          <w:szCs w:val="21"/>
          <w:lang w:val="en-US" w:eastAsia="zh-CN"/>
        </w:rPr>
        <w:t>监督审核时</w:t>
      </w:r>
      <w:r>
        <w:rPr>
          <w:rFonts w:hint="eastAsia" w:cs="宋体" w:asciiTheme="minorEastAsia" w:hAnsiTheme="minorEastAsia"/>
          <w:bCs/>
          <w:kern w:val="0"/>
          <w:szCs w:val="21"/>
        </w:rPr>
        <w:t>，发现了</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个不符合项</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企业</w:t>
      </w:r>
      <w:r>
        <w:rPr>
          <w:rFonts w:hint="eastAsia" w:cs="宋体" w:asciiTheme="minorEastAsia" w:hAnsiTheme="minorEastAsia"/>
          <w:bCs/>
          <w:kern w:val="0"/>
          <w:szCs w:val="21"/>
          <w:lang w:val="en-US" w:eastAsia="zh-CN"/>
        </w:rPr>
        <w:t>采取了</w:t>
      </w:r>
      <w:r>
        <w:rPr>
          <w:rFonts w:hint="eastAsia" w:cs="宋体" w:asciiTheme="minorEastAsia" w:hAnsiTheme="minorEastAsia"/>
          <w:bCs/>
          <w:kern w:val="0"/>
          <w:szCs w:val="21"/>
        </w:rPr>
        <w:t>纠正措施：组织相关人员学习GB/19022-2003标准和公司测量管理体系手册和程序文件，提供了培训记录</w:t>
      </w:r>
      <w:r>
        <w:rPr>
          <w:rFonts w:hint="eastAsia" w:cs="宋体" w:asciiTheme="minorEastAsia" w:hAnsiTheme="minorEastAsia"/>
          <w:bCs/>
          <w:kern w:val="0"/>
          <w:szCs w:val="21"/>
          <w:lang w:eastAsia="zh-CN"/>
        </w:rPr>
        <w:t>。</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经审核组本次现场审核，</w:t>
      </w:r>
      <w:r>
        <w:rPr>
          <w:rFonts w:hint="eastAsia" w:cs="宋体" w:asciiTheme="minorEastAsia" w:hAnsiTheme="minorEastAsia"/>
          <w:bCs/>
          <w:kern w:val="0"/>
          <w:szCs w:val="21"/>
          <w:lang w:val="en-US" w:eastAsia="zh-CN"/>
        </w:rPr>
        <w:t>验证了纠正</w:t>
      </w:r>
      <w:r>
        <w:rPr>
          <w:rFonts w:hint="eastAsia" w:cs="宋体" w:asciiTheme="minorEastAsia" w:hAnsiTheme="minorEastAsia"/>
          <w:bCs/>
          <w:kern w:val="0"/>
          <w:szCs w:val="21"/>
        </w:rPr>
        <w:t>措施</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不符合项已整改完成，</w:t>
      </w:r>
      <w:r>
        <w:rPr>
          <w:rFonts w:hint="eastAsia" w:cs="宋体" w:asciiTheme="minorEastAsia" w:hAnsiTheme="minorEastAsia"/>
          <w:bCs/>
          <w:kern w:val="0"/>
          <w:szCs w:val="21"/>
          <w:lang w:val="en-US" w:eastAsia="zh-CN"/>
        </w:rPr>
        <w:t>并</w:t>
      </w:r>
      <w:r>
        <w:rPr>
          <w:rFonts w:hint="eastAsia" w:cs="宋体" w:asciiTheme="minorEastAsia" w:hAnsiTheme="minorEastAsia"/>
          <w:bCs/>
          <w:kern w:val="0"/>
          <w:szCs w:val="21"/>
        </w:rPr>
        <w:t xml:space="preserve">关闭。 </w:t>
      </w:r>
    </w:p>
    <w:p>
      <w:pPr>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default" w:cs="宋体" w:asciiTheme="minorEastAsia" w:hAnsiTheme="minorEastAsia"/>
          <w:bCs/>
          <w:kern w:val="0"/>
          <w:szCs w:val="21"/>
          <w:lang w:val="en-US"/>
        </w:rPr>
      </w:pPr>
      <w:r>
        <w:rPr>
          <w:rFonts w:hint="eastAsia" w:cs="宋体" w:asciiTheme="minorEastAsia" w:hAnsiTheme="minorEastAsia"/>
          <w:kern w:val="0"/>
          <w:szCs w:val="21"/>
        </w:rPr>
        <w:t>该公司</w:t>
      </w:r>
      <w:r>
        <w:rPr>
          <w:rFonts w:hint="eastAsia" w:cs="宋体" w:asciiTheme="minorEastAsia" w:hAnsiTheme="minorEastAsia"/>
          <w:kern w:val="0"/>
          <w:szCs w:val="21"/>
          <w:lang w:val="en-US" w:eastAsia="zh-CN"/>
        </w:rPr>
        <w:t>不</w:t>
      </w:r>
      <w:r>
        <w:rPr>
          <w:rFonts w:hint="eastAsia" w:cs="宋体" w:asciiTheme="minorEastAsia" w:hAnsiTheme="minorEastAsia"/>
          <w:kern w:val="0"/>
          <w:szCs w:val="21"/>
        </w:rPr>
        <w:t>属于重点能耗企业，已经按要求统计公司水电气总能耗</w:t>
      </w:r>
      <w:r>
        <w:rPr>
          <w:rFonts w:hint="eastAsia" w:cs="宋体" w:asciiTheme="minorEastAsia" w:hAnsiTheme="minorEastAsia"/>
          <w:kern w:val="0"/>
          <w:szCs w:val="21"/>
          <w:lang w:eastAsia="zh-CN"/>
        </w:rPr>
        <w:t>，能源计量器具已</w:t>
      </w:r>
      <w:r>
        <w:rPr>
          <w:rFonts w:hint="eastAsia" w:cs="宋体" w:asciiTheme="minorEastAsia" w:hAnsiTheme="minorEastAsia"/>
          <w:kern w:val="0"/>
          <w:szCs w:val="21"/>
          <w:lang w:val="en-US" w:eastAsia="zh-CN"/>
        </w:rPr>
        <w:t>进入</w:t>
      </w:r>
      <w:r>
        <w:rPr>
          <w:rFonts w:hint="eastAsia" w:cs="宋体" w:asciiTheme="minorEastAsia" w:hAnsiTheme="minorEastAsia"/>
          <w:kern w:val="0"/>
          <w:szCs w:val="21"/>
          <w:lang w:eastAsia="zh-CN"/>
        </w:rPr>
        <w:t>台</w:t>
      </w:r>
      <w:r>
        <w:rPr>
          <w:rFonts w:hint="eastAsia" w:cs="宋体" w:asciiTheme="minorEastAsia" w:hAnsiTheme="minorEastAsia"/>
          <w:kern w:val="0"/>
          <w:szCs w:val="21"/>
          <w:lang w:val="en-US" w:eastAsia="zh-CN"/>
        </w:rPr>
        <w:t>帐管理，2020年全年耗电.水。折合标煤22吨。</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公司目前尚未接到客户在产品质量、物料交接、能源、安全、现场管理等方面的投诉和纠纷。</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.测量管理体系在实现获证客户目标方面的有效性及持续的运作控制情况：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查企业的《测量管理体系手册》规定了公司的计量方针及5项质量目标 ，并已下发到体系覆盖的相关部门，企业规模较小未分解，由生技部对各部门完成的质量目标进行督促检查，查20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年质量目标按规定的内容和时间已进行了统计考核，完成情况较好。</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widowControl/>
        <w:spacing w:line="360" w:lineRule="auto"/>
        <w:ind w:firstLine="420" w:firstLineChars="200"/>
        <w:rPr>
          <w:rFonts w:cs="宋体" w:asciiTheme="minorEastAsia" w:hAnsiTheme="minorEastAsia"/>
          <w:bCs/>
          <w:kern w:val="0"/>
          <w:szCs w:val="21"/>
        </w:rPr>
      </w:pPr>
      <w:bookmarkStart w:id="6" w:name="_Hlk22383010"/>
      <w:r>
        <w:rPr>
          <w:rFonts w:hint="eastAsia" w:ascii="等线" w:hAnsi="等线"/>
          <w:bCs/>
          <w:szCs w:val="21"/>
        </w:rPr>
        <w:t>企业的资质及组织机构的无任何变更</w:t>
      </w:r>
      <w:bookmarkEnd w:id="6"/>
      <w:r>
        <w:rPr>
          <w:rFonts w:hint="eastAsia" w:ascii="等线" w:hAnsi="等线"/>
          <w:bCs/>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.标志的使用和（或）任何其他对认证资格引用的情况：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公司对标志的使用，符合相关标准和规定。公司测量管理体系认证证书主要用于企业形象广告宣传，以及用于公司产品招投标。</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 本次审核共出具一般不符合项</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项，未发现严重的或系统性的不符合情况。</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hint="eastAsia" w:cs="宋体" w:asciiTheme="minorEastAsia" w:hAnsiTheme="minorEastAsia"/>
          <w:bCs/>
          <w:kern w:val="0"/>
          <w:szCs w:val="21"/>
          <w:lang w:val="en-US" w:eastAsia="zh-CN"/>
        </w:rPr>
        <w:t>1</w:t>
      </w:r>
      <w:r>
        <w:rPr>
          <w:rFonts w:cs="宋体" w:asciiTheme="minorEastAsia" w:hAnsiTheme="minorEastAsia"/>
          <w:bCs/>
          <w:kern w:val="0"/>
          <w:szCs w:val="21"/>
        </w:rPr>
        <w:t>.1</w:t>
      </w:r>
      <w:r>
        <w:rPr>
          <w:rFonts w:hint="eastAsia" w:ascii="宋体" w:hAnsi="宋体" w:cs="宋体"/>
          <w:kern w:val="0"/>
          <w:szCs w:val="21"/>
          <w:lang w:val="en-US" w:eastAsia="zh-CN"/>
        </w:rPr>
        <w:t xml:space="preserve">  在检查生技部发现对该厂提供检测校准服务的外部供方：“</w:t>
      </w:r>
      <w:r>
        <w:rPr>
          <w:rFonts w:hint="eastAsia"/>
          <w:szCs w:val="21"/>
          <w:lang w:val="en-US" w:eastAsia="zh-CN"/>
        </w:rPr>
        <w:t>江苏华质检测</w:t>
      </w:r>
      <w:r>
        <w:rPr>
          <w:rFonts w:hint="eastAsia"/>
          <w:szCs w:val="21"/>
        </w:rPr>
        <w:t>技术有限公司</w:t>
      </w:r>
      <w:r>
        <w:rPr>
          <w:rFonts w:hint="eastAsia" w:ascii="宋体" w:hAnsi="宋体" w:cs="宋体"/>
          <w:kern w:val="0"/>
          <w:szCs w:val="21"/>
          <w:lang w:val="en-US" w:eastAsia="zh-CN"/>
        </w:rPr>
        <w:t>”未</w:t>
      </w:r>
      <w:r>
        <w:rPr>
          <w:rFonts w:hint="eastAsia"/>
          <w:szCs w:val="21"/>
          <w:lang w:val="en-US" w:eastAsia="zh-CN"/>
        </w:rPr>
        <w:t>实施评价并记录，</w:t>
      </w:r>
      <w:r>
        <w:rPr>
          <w:rFonts w:hint="eastAsia" w:cs="宋体" w:asciiTheme="minorEastAsia" w:hAnsiTheme="minorEastAsia"/>
          <w:bCs/>
          <w:kern w:val="0"/>
          <w:szCs w:val="21"/>
        </w:rPr>
        <w:t>不满足标准GB/T 19022-2003 条款6.</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的要求。</w:t>
      </w:r>
    </w:p>
    <w:p>
      <w:pPr>
        <w:widowControl/>
        <w:spacing w:line="360" w:lineRule="auto"/>
        <w:rPr>
          <w:rFonts w:cs="宋体" w:asciiTheme="minorEastAsia" w:hAnsiTheme="minorEastAsia"/>
          <w:bCs/>
          <w:kern w:val="0"/>
          <w:szCs w:val="21"/>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hint="eastAsia" w:cs="宋体" w:asciiTheme="minorEastAsia" w:hAnsiTheme="minorEastAsia"/>
          <w:bCs/>
          <w:kern w:val="0"/>
          <w:szCs w:val="21"/>
        </w:rPr>
        <w:t>(含需要说明的事项):</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24</w:t>
      </w:r>
      <w:r>
        <w:rPr>
          <w:rFonts w:hint="eastAsia" w:cs="宋体" w:asciiTheme="minorEastAsia" w:hAnsiTheme="minorEastAsia"/>
          <w:bCs/>
          <w:kern w:val="0"/>
          <w:szCs w:val="21"/>
        </w:rPr>
        <w:t>日对盐城华远石油机械有限公司建立的测量管理体系进行第</w:t>
      </w:r>
      <w:r>
        <w:rPr>
          <w:rFonts w:hint="eastAsia" w:cs="宋体" w:asciiTheme="minorEastAsia" w:hAnsiTheme="minorEastAsia"/>
          <w:bCs/>
          <w:kern w:val="0"/>
          <w:szCs w:val="21"/>
          <w:lang w:val="en-US" w:eastAsia="zh-CN"/>
        </w:rPr>
        <w:t>二</w:t>
      </w:r>
      <w:r>
        <w:rPr>
          <w:rFonts w:hint="eastAsia" w:cs="宋体" w:asciiTheme="minorEastAsia" w:hAnsiTheme="minor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盐城华远石油机械有限公司测量管理体系，符合GB/T 19022-2003标准要求，对体系运行具有持续的有效性、符合性予以肯定。建议报请北京国标联合认证有限公司批准通过监督审核。</w:t>
      </w:r>
    </w:p>
    <w:p>
      <w:pPr>
        <w:bidi w:val="0"/>
        <w:snapToGrid w:val="0"/>
        <w:spacing w:line="360" w:lineRule="auto"/>
        <w:ind w:right="-512" w:rightChars="-244"/>
        <w:rPr>
          <w:rFonts w:hint="eastAsia" w:ascii="宋体" w:hAnsi="宋体"/>
          <w:szCs w:val="21"/>
        </w:rPr>
      </w:pPr>
      <w:r>
        <w:rPr>
          <w:rFonts w:hint="eastAsia" w:ascii="宋体" w:hAnsi="宋体"/>
          <w:szCs w:val="21"/>
        </w:rPr>
        <w:t>为促进、支持</w:t>
      </w:r>
      <w:r>
        <w:rPr>
          <w:rFonts w:hint="eastAsia" w:ascii="宋体" w:hAnsi="宋体"/>
          <w:bCs/>
          <w:szCs w:val="21"/>
        </w:rPr>
        <w:t>企业</w:t>
      </w:r>
      <w:r>
        <w:rPr>
          <w:rFonts w:hint="eastAsia" w:ascii="宋体" w:hAnsi="宋体"/>
          <w:szCs w:val="21"/>
        </w:rPr>
        <w:t xml:space="preserve">测量管理体系持续改进提高，审核组提出以下改进建议： </w:t>
      </w:r>
    </w:p>
    <w:p>
      <w:pPr>
        <w:bidi w:val="0"/>
        <w:snapToGrid w:val="0"/>
        <w:spacing w:line="360" w:lineRule="auto"/>
        <w:ind w:right="-512" w:rightChars="-244"/>
        <w:rPr>
          <w:rFonts w:hint="default" w:ascii="宋体" w:hAnsi="宋体"/>
          <w:szCs w:val="21"/>
          <w:lang w:val="en-US" w:eastAsia="zh-CN"/>
        </w:rPr>
      </w:pPr>
      <w:r>
        <w:rPr>
          <w:rFonts w:hint="eastAsia" w:ascii="宋体" w:hAnsi="宋体"/>
          <w:szCs w:val="21"/>
          <w:lang w:val="en-US" w:eastAsia="zh-CN"/>
        </w:rPr>
        <w:t>进一步加强相关人员计量技术基础知识学习和培训，以持续适应测量管理体系要求；不断完善和提升提升产品质量控制能力。</w:t>
      </w:r>
    </w:p>
    <w:p>
      <w:pPr>
        <w:widowControl/>
        <w:spacing w:line="360" w:lineRule="auto"/>
        <w:ind w:right="1786" w:firstLine="2730" w:firstLineChars="1300"/>
        <w:rPr>
          <w:rFonts w:ascii="宋体" w:hAnsi="宋体" w:eastAsia="宋体" w:cs="宋体"/>
          <w:kern w:val="0"/>
          <w:szCs w:val="28"/>
        </w:rPr>
      </w:pP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3536950</wp:posOffset>
            </wp:positionH>
            <wp:positionV relativeFrom="paragraph">
              <wp:posOffset>154940</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6"/>
                    <a:stretch>
                      <a:fillRect/>
                    </a:stretch>
                  </pic:blipFill>
                  <pic:spPr>
                    <a:xfrm>
                      <a:off x="0" y="0"/>
                      <a:ext cx="615950" cy="511175"/>
                    </a:xfrm>
                    <a:prstGeom prst="rect">
                      <a:avLst/>
                    </a:prstGeom>
                  </pic:spPr>
                </pic:pic>
              </a:graphicData>
            </a:graphic>
          </wp:anchor>
        </w:drawing>
      </w: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2916555</wp:posOffset>
            </wp:positionH>
            <wp:positionV relativeFrom="paragraph">
              <wp:posOffset>184150</wp:posOffset>
            </wp:positionV>
            <wp:extent cx="448945" cy="345440"/>
            <wp:effectExtent l="0" t="0" r="8255" b="1016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7"/>
                    <a:stretch>
                      <a:fillRect/>
                    </a:stretch>
                  </pic:blipFill>
                  <pic:spPr>
                    <a:xfrm>
                      <a:off x="0" y="0"/>
                      <a:ext cx="448945" cy="345440"/>
                    </a:xfrm>
                    <a:prstGeom prst="rect">
                      <a:avLst/>
                    </a:prstGeom>
                  </pic:spPr>
                </pic:pic>
              </a:graphicData>
            </a:graphic>
          </wp:anchor>
        </w:drawing>
      </w:r>
    </w:p>
    <w:p>
      <w:pPr>
        <w:widowControl/>
        <w:spacing w:line="360" w:lineRule="auto"/>
        <w:ind w:right="1786" w:firstLine="2730" w:firstLineChars="1300"/>
        <w:rPr>
          <w:rFonts w:ascii="宋体" w:hAnsi="宋体" w:eastAsia="宋体" w:cs="宋体"/>
          <w:kern w:val="0"/>
          <w:szCs w:val="28"/>
        </w:rPr>
      </w:pPr>
      <w:r>
        <w:rPr>
          <w:rFonts w:ascii="宋体" w:hAnsi="宋体" w:eastAsia="宋体" w:cs="宋体"/>
          <w:kern w:val="0"/>
          <w:szCs w:val="28"/>
        </w:rPr>
        <w:t>审核员 （签字）：</w:t>
      </w:r>
    </w:p>
    <w:p>
      <w:pPr>
        <w:widowControl/>
        <w:spacing w:line="360" w:lineRule="auto"/>
        <w:ind w:right="1786"/>
        <w:jc w:val="center"/>
        <w:rPr>
          <w:rFonts w:hint="eastAsia" w:ascii="宋体" w:hAnsi="宋体" w:eastAsia="宋体" w:cs="宋体"/>
          <w:kern w:val="0"/>
          <w:szCs w:val="28"/>
          <w:lang w:val="en-US" w:eastAsia="zh-CN"/>
        </w:rPr>
      </w:pP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lang w:val="en-US" w:eastAsia="zh-CN"/>
        </w:rPr>
        <w:t xml:space="preserve">          </w:t>
      </w:r>
    </w:p>
    <w:p>
      <w:pPr>
        <w:widowControl/>
        <w:spacing w:line="360" w:lineRule="auto"/>
        <w:ind w:right="1786"/>
        <w:jc w:val="center"/>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日期：</w:t>
      </w:r>
      <w:r>
        <w:rPr>
          <w:rFonts w:hint="eastAsia" w:ascii="宋体" w:hAnsi="宋体" w:eastAsia="宋体" w:cs="宋体"/>
          <w:kern w:val="0"/>
          <w:szCs w:val="28"/>
          <w:lang w:val="en-US" w:eastAsia="zh-CN"/>
        </w:rPr>
        <w:t>2021.3.24</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7"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7"/>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FAA70"/>
    <w:multiLevelType w:val="singleLevel"/>
    <w:tmpl w:val="224FAA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F058BE"/>
    <w:rsid w:val="2B346D01"/>
    <w:rsid w:val="4C5175EC"/>
    <w:rsid w:val="53DD18A9"/>
    <w:rsid w:val="627C2697"/>
    <w:rsid w:val="6DD44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460</Characters>
  <Lines>3</Lines>
  <Paragraphs>1</Paragraphs>
  <TotalTime>3</TotalTime>
  <ScaleCrop>false</ScaleCrop>
  <LinksUpToDate>false</LinksUpToDate>
  <CharactersWithSpaces>539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2021-03-24T21:32:51Z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54D1C59994AA48B5BB185F4B2BC12FF8</vt:lpwstr>
  </property>
</Properties>
</file>