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成都坤恒顺维科技股份有限公司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spacing w:line="240" w:lineRule="auto"/>
              <w:ind w:firstLine="451" w:firstLineChars="214"/>
              <w:rPr>
                <w:rFonts w:eastAsia="方正仿宋简体"/>
                <w:b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  <w:t>查</w:t>
            </w:r>
            <w:r>
              <w:rPr>
                <w:rFonts w:hint="eastAsia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  <w:t>应急管理：</w:t>
            </w:r>
            <w:r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  <w:t>办公室</w:t>
            </w:r>
            <w:r>
              <w:rPr>
                <w:rFonts w:hint="eastAsia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  <w:t>区域有1台</w:t>
            </w:r>
            <w:r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  <w:t>灭火器</w:t>
            </w:r>
            <w:r>
              <w:rPr>
                <w:rFonts w:hint="eastAsia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  <w:t>已失效</w:t>
            </w:r>
            <w:r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  <w:t>。不符合 GB/T24001-2016标准的8.2条款“组织应：通过策划的措施做好响应紧急情况的准备，以预防或减轻它所带来的不利影响</w:t>
            </w:r>
            <w:r>
              <w:rPr>
                <w:rFonts w:hint="eastAsia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  <w:t>。</w:t>
            </w:r>
            <w:bookmarkStart w:id="7" w:name="_GoBack"/>
            <w:bookmarkEnd w:id="7"/>
            <w:r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  <w:t>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2985135</wp:posOffset>
                  </wp:positionH>
                  <wp:positionV relativeFrom="paragraph">
                    <wp:posOffset>128270</wp:posOffset>
                  </wp:positionV>
                  <wp:extent cx="768350" cy="426085"/>
                  <wp:effectExtent l="0" t="0" r="8890" b="63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1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591185</wp:posOffset>
                  </wp:positionH>
                  <wp:positionV relativeFrom="paragraph">
                    <wp:posOffset>160020</wp:posOffset>
                  </wp:positionV>
                  <wp:extent cx="721360" cy="400050"/>
                  <wp:effectExtent l="0" t="0" r="10160" b="1143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1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6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2021.2.28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2021.2.28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C13215"/>
    <w:rsid w:val="225167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line="300" w:lineRule="exact"/>
    </w:pPr>
    <w:rPr>
      <w:rFonts w:ascii="Times New Roman" w:hAnsi="Times New Roman" w:eastAsia="宋体" w:cs="Times New Roman"/>
      <w:sz w:val="24"/>
      <w:szCs w:val="2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4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2021-03-03T07:32:35Z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