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rFonts w:hint="eastAsia" w:eastAsia="宋体"/>
          <w:b/>
          <w:lang w:val="en-US" w:eastAsia="zh-CN"/>
        </w:rPr>
      </w:pPr>
      <w:r>
        <w:rPr>
          <w:rFonts w:hint="eastAsia"/>
          <w:b/>
          <w:lang w:val="en-US" w:eastAsia="zh-CN"/>
        </w:rPr>
        <w:t>编号：</w:t>
      </w:r>
      <w:bookmarkStart w:id="0" w:name="合同编号"/>
      <w:r>
        <w:rPr>
          <w:rFonts w:hint="eastAsia" w:ascii="宋体" w:hAnsi="宋体"/>
          <w:b/>
          <w:bCs/>
          <w:kern w:val="0"/>
          <w:szCs w:val="21"/>
          <w:u w:val="single"/>
        </w:rPr>
        <w:t>0212-2018-E-2021</w:t>
      </w:r>
      <w:bookmarkEnd w:id="0"/>
      <w:r>
        <w:rPr>
          <w:rFonts w:hint="eastAsia" w:ascii="宋体" w:hAnsi="宋体"/>
          <w:b/>
          <w:bCs/>
          <w:kern w:val="0"/>
          <w:szCs w:val="21"/>
          <w:u w:val="single"/>
        </w:rPr>
        <w:t xml:space="preserve"> </w:t>
      </w: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hint="eastAsia" w:ascii="楷体" w:hAnsi="楷体" w:eastAsia="楷体"/>
          <w:b/>
          <w:color w:val="000000"/>
          <w:sz w:val="32"/>
          <w:szCs w:val="32"/>
        </w:rPr>
        <w:t>成都坤恒顺维科技股份有限公司</w:t>
      </w:r>
      <w:bookmarkEnd w:id="1"/>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2" w:name="Q勾选15"/>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3" w:name="QJ勾选"/>
      <w:r>
        <w:rPr>
          <w:rFonts w:hint="eastAsia" w:ascii="楷体" w:hAnsi="楷体" w:eastAsia="楷体"/>
          <w:b/>
          <w:color w:val="000000"/>
          <w:sz w:val="32"/>
          <w:szCs w:val="32"/>
        </w:rPr>
        <w:t>□</w:t>
      </w:r>
      <w:bookmarkEnd w:id="3"/>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E勾选"/>
      <w:r>
        <w:rPr>
          <w:rFonts w:hint="eastAsia" w:ascii="楷体" w:hAnsi="楷体" w:eastAsia="楷体"/>
          <w:b/>
          <w:color w:val="000000"/>
          <w:sz w:val="32"/>
          <w:szCs w:val="32"/>
        </w:rPr>
        <w:t>■</w:t>
      </w:r>
      <w:bookmarkEnd w:id="4"/>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2</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5" w:name="S勾选"/>
      <w:r>
        <w:rPr>
          <w:rFonts w:hint="eastAsia" w:ascii="楷体" w:hAnsi="楷体" w:eastAsia="楷体"/>
          <w:b/>
          <w:color w:val="000000"/>
          <w:sz w:val="32"/>
          <w:szCs w:val="32"/>
        </w:rPr>
        <w:t>□</w:t>
      </w:r>
      <w:bookmarkEnd w:id="5"/>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杨珍全</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2018-N1EMS-1230067</w:t>
            </w:r>
          </w:p>
        </w:tc>
        <w:tc>
          <w:tcPr>
            <w:tcW w:w="1728" w:type="dxa"/>
            <w:gridSpan w:val="2"/>
            <w:vAlign w:val="center"/>
          </w:tcPr>
          <w:p>
            <w:pPr>
              <w:jc w:val="center"/>
              <w:rPr>
                <w:b/>
                <w:sz w:val="21"/>
                <w:szCs w:val="21"/>
              </w:rPr>
            </w:pPr>
            <w:r>
              <w:rPr>
                <w:b/>
                <w:sz w:val="21"/>
                <w:szCs w:val="21"/>
              </w:rPr>
              <w:t>29.12.00,34.05.00</w:t>
            </w:r>
          </w:p>
        </w:tc>
        <w:tc>
          <w:tcPr>
            <w:tcW w:w="1729" w:type="dxa"/>
            <w:gridSpan w:val="2"/>
            <w:vAlign w:val="center"/>
          </w:tcPr>
          <w:p>
            <w:pPr>
              <w:jc w:val="center"/>
              <w:rPr>
                <w:b/>
                <w:sz w:val="21"/>
                <w:szCs w:val="21"/>
              </w:rPr>
            </w:pPr>
            <w:r>
              <w:rPr>
                <w:b/>
                <w:sz w:val="21"/>
                <w:szCs w:val="21"/>
              </w:rPr>
              <w:t>ISC-230067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6" w:name="审核目的"/>
      <w:r>
        <w:rPr>
          <w:rFonts w:hint="eastAsia"/>
          <w:b/>
          <w:sz w:val="21"/>
          <w:szCs w:val="21"/>
        </w:rPr>
        <w:t>□认证注册：__________</w:t>
      </w:r>
    </w:p>
    <w:p>
      <w:pPr>
        <w:tabs>
          <w:tab w:val="left" w:pos="645"/>
        </w:tabs>
        <w:rPr>
          <w:rFonts w:hint="default" w:eastAsia="宋体"/>
          <w:b/>
          <w:sz w:val="21"/>
          <w:szCs w:val="21"/>
          <w:lang w:val="en-US" w:eastAsia="zh-CN"/>
        </w:rPr>
      </w:pPr>
      <w:r>
        <w:rPr>
          <w:rFonts w:hint="eastAsia"/>
          <w:b/>
          <w:sz w:val="21"/>
          <w:szCs w:val="21"/>
          <w:lang w:eastAsia="zh-CN"/>
        </w:rPr>
        <w:t>■</w:t>
      </w:r>
      <w:r>
        <w:rPr>
          <w:rFonts w:hint="eastAsia"/>
          <w:b/>
          <w:sz w:val="21"/>
          <w:szCs w:val="21"/>
        </w:rPr>
        <w:t>保持认证注册资格：</w:t>
      </w:r>
      <w:r>
        <w:rPr>
          <w:rFonts w:hint="eastAsia"/>
          <w:b/>
          <w:sz w:val="21"/>
          <w:szCs w:val="21"/>
          <w:u w:val="single"/>
          <w:lang w:val="en-US" w:eastAsia="zh-CN"/>
        </w:rPr>
        <w:t>监督2</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6"/>
    </w:p>
    <w:p>
      <w:pPr>
        <w:tabs>
          <w:tab w:val="left" w:pos="645"/>
        </w:tabs>
        <w:rPr>
          <w:b/>
          <w:sz w:val="16"/>
          <w:szCs w:val="16"/>
        </w:rPr>
      </w:pPr>
      <w:r>
        <w:rPr>
          <w:rFonts w:hint="eastAsia"/>
          <w:b/>
          <w:sz w:val="26"/>
          <w:szCs w:val="26"/>
        </w:rPr>
        <w:t>三、审核准则</w:t>
      </w:r>
    </w:p>
    <w:p>
      <w:pPr>
        <w:tabs>
          <w:tab w:val="left" w:pos="645"/>
        </w:tabs>
        <w:rPr>
          <w:b/>
          <w:sz w:val="21"/>
          <w:szCs w:val="21"/>
        </w:rPr>
      </w:pPr>
      <w:bookmarkStart w:id="7" w:name="Q勾选15Add"/>
      <w:r>
        <w:rPr>
          <w:rFonts w:hint="eastAsia"/>
          <w:b/>
          <w:sz w:val="21"/>
          <w:szCs w:val="21"/>
        </w:rPr>
        <w:t>□</w:t>
      </w:r>
      <w:bookmarkEnd w:id="7"/>
      <w:r>
        <w:rPr>
          <w:rFonts w:hint="eastAsia"/>
          <w:b/>
          <w:sz w:val="21"/>
          <w:szCs w:val="21"/>
        </w:rPr>
        <w:t xml:space="preserve"> GB/T 19001:2016 idt ISO 9001:2015标准不适用条款: </w:t>
      </w:r>
    </w:p>
    <w:p>
      <w:pPr>
        <w:tabs>
          <w:tab w:val="left" w:pos="645"/>
        </w:tabs>
        <w:rPr>
          <w:b/>
          <w:sz w:val="21"/>
          <w:szCs w:val="21"/>
        </w:rPr>
      </w:pPr>
      <w:bookmarkStart w:id="8" w:name="QJ勾选Add"/>
      <w:r>
        <w:rPr>
          <w:rFonts w:hint="eastAsia"/>
          <w:b/>
          <w:sz w:val="21"/>
          <w:szCs w:val="21"/>
        </w:rPr>
        <w:t>□</w:t>
      </w:r>
      <w:bookmarkEnd w:id="8"/>
      <w:r>
        <w:rPr>
          <w:rFonts w:hint="eastAsia"/>
          <w:b/>
          <w:sz w:val="21"/>
          <w:szCs w:val="21"/>
        </w:rPr>
        <w:t xml:space="preserve"> GB/T 50430-2017标准不适用条款: </w:t>
      </w:r>
    </w:p>
    <w:p>
      <w:pPr>
        <w:tabs>
          <w:tab w:val="left" w:pos="645"/>
        </w:tabs>
        <w:rPr>
          <w:b/>
          <w:sz w:val="21"/>
          <w:szCs w:val="21"/>
        </w:rPr>
      </w:pPr>
      <w:bookmarkStart w:id="9" w:name="E勾选Add"/>
      <w:r>
        <w:rPr>
          <w:rFonts w:hint="eastAsia"/>
          <w:b/>
          <w:sz w:val="21"/>
          <w:szCs w:val="21"/>
        </w:rPr>
        <w:t>■</w:t>
      </w:r>
      <w:bookmarkEnd w:id="9"/>
      <w:r>
        <w:rPr>
          <w:rFonts w:hint="eastAsia"/>
          <w:b/>
          <w:sz w:val="21"/>
          <w:szCs w:val="21"/>
        </w:rPr>
        <w:t xml:space="preserve"> GB/T 24001-2016 idt ISO 14001:2015标准</w:t>
      </w:r>
    </w:p>
    <w:p>
      <w:pPr>
        <w:tabs>
          <w:tab w:val="left" w:pos="645"/>
        </w:tabs>
        <w:rPr>
          <w:b/>
          <w:sz w:val="21"/>
          <w:szCs w:val="21"/>
        </w:rPr>
      </w:pPr>
      <w:bookmarkStart w:id="10" w:name="S勾选Add"/>
      <w:r>
        <w:rPr>
          <w:rFonts w:hint="eastAsia"/>
          <w:b/>
          <w:sz w:val="21"/>
          <w:szCs w:val="21"/>
        </w:rPr>
        <w:t>□</w:t>
      </w:r>
      <w:bookmarkEnd w:id="10"/>
      <w:r>
        <w:rPr>
          <w:rFonts w:hint="eastAsia"/>
          <w:b/>
          <w:sz w:val="21"/>
          <w:szCs w:val="21"/>
        </w:rPr>
        <w:t xml:space="preserve"> GB/T 28001-2011 idt OHSMS 18001:2007标准</w:t>
      </w:r>
    </w:p>
    <w:p>
      <w:pPr>
        <w:tabs>
          <w:tab w:val="left" w:pos="645"/>
        </w:tabs>
        <w:rPr>
          <w:b/>
          <w:sz w:val="21"/>
          <w:szCs w:val="21"/>
        </w:rPr>
      </w:pPr>
      <w:bookmarkStart w:id="11" w:name="S勾选Add1"/>
      <w:r>
        <w:rPr>
          <w:rFonts w:hint="eastAsia"/>
          <w:b/>
          <w:sz w:val="21"/>
          <w:szCs w:val="21"/>
        </w:rPr>
        <w:t>□</w:t>
      </w:r>
      <w:bookmarkEnd w:id="11"/>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FF0000"/>
                <w:sz w:val="21"/>
              </w:rPr>
            </w:pPr>
            <w:bookmarkStart w:id="12" w:name="组织名称Add"/>
            <w:r>
              <w:rPr>
                <w:rFonts w:ascii="宋体" w:hAnsi="Times New Roman" w:cs="Times New Roman"/>
                <w:b/>
                <w:sz w:val="21"/>
                <w:szCs w:val="22"/>
              </w:rPr>
              <w:t>成都坤恒顺维科技股份有限公司</w:t>
            </w:r>
            <w:bookmarkEnd w:id="12"/>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79人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3" w:name="注册地址"/>
            <w:r>
              <w:rPr>
                <w:rFonts w:ascii="宋体"/>
                <w:b/>
                <w:sz w:val="21"/>
              </w:rPr>
              <w:t>成都高新区新文路22号6栋1层4号</w:t>
            </w:r>
            <w:bookmarkEnd w:id="13"/>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4" w:name="注册邮编"/>
            <w:r>
              <w:rPr>
                <w:rFonts w:ascii="宋体"/>
                <w:b/>
                <w:sz w:val="21"/>
              </w:rPr>
              <w:t>600000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5" w:name="办公地址"/>
            <w:r>
              <w:rPr>
                <w:rFonts w:ascii="宋体"/>
                <w:b/>
                <w:sz w:val="21"/>
              </w:rPr>
              <w:t>成都高新区新文路22号融智总部公园3楼、2楼</w:t>
            </w:r>
            <w:bookmarkEnd w:id="15"/>
          </w:p>
        </w:tc>
        <w:tc>
          <w:tcPr>
            <w:tcW w:w="1672" w:type="dxa"/>
            <w:vMerge w:val="continue"/>
            <w:vAlign w:val="center"/>
          </w:tcPr>
          <w:p>
            <w:pPr>
              <w:jc w:val="center"/>
              <w:rPr>
                <w:rFonts w:ascii="宋体"/>
                <w:b/>
                <w:sz w:val="21"/>
              </w:rPr>
            </w:pPr>
          </w:p>
        </w:tc>
        <w:tc>
          <w:tcPr>
            <w:tcW w:w="1500" w:type="dxa"/>
          </w:tcPr>
          <w:p>
            <w:pPr>
              <w:rPr>
                <w:rFonts w:ascii="宋体"/>
                <w:b/>
                <w:sz w:val="21"/>
              </w:rPr>
            </w:pPr>
            <w:bookmarkStart w:id="16" w:name="办公邮编"/>
            <w:r>
              <w:rPr>
                <w:rFonts w:ascii="宋体"/>
                <w:b/>
                <w:sz w:val="21"/>
              </w:rPr>
              <w:t>600000</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7" w:name="生产地址Add"/>
            <w:r>
              <w:rPr>
                <w:rFonts w:ascii="宋体"/>
                <w:b/>
                <w:sz w:val="21"/>
              </w:rPr>
              <w:t>成都高新区新文路22号融智总部公园3楼、2楼</w:t>
            </w:r>
            <w:bookmarkEnd w:id="17"/>
          </w:p>
        </w:tc>
        <w:tc>
          <w:tcPr>
            <w:tcW w:w="1672" w:type="dxa"/>
            <w:vMerge w:val="continue"/>
            <w:vAlign w:val="center"/>
          </w:tcPr>
          <w:p>
            <w:pPr>
              <w:jc w:val="center"/>
              <w:rPr>
                <w:rFonts w:ascii="宋体"/>
                <w:b/>
                <w:sz w:val="21"/>
              </w:rPr>
            </w:pPr>
          </w:p>
        </w:tc>
        <w:tc>
          <w:tcPr>
            <w:tcW w:w="1500" w:type="dxa"/>
          </w:tcPr>
          <w:p>
            <w:pPr>
              <w:rPr>
                <w:rFonts w:ascii="宋体"/>
                <w:b/>
                <w:sz w:val="21"/>
              </w:rPr>
            </w:pPr>
            <w:bookmarkStart w:id="18" w:name="生产邮编"/>
            <w:r>
              <w:rPr>
                <w:rFonts w:ascii="宋体"/>
                <w:b/>
                <w:sz w:val="21"/>
              </w:rPr>
              <w:t>600000</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9" w:name="联系人"/>
            <w:r>
              <w:rPr>
                <w:rFonts w:ascii="宋体"/>
                <w:b/>
                <w:sz w:val="21"/>
              </w:rPr>
              <w:t>谭向兵</w:t>
            </w:r>
            <w:bookmarkEnd w:id="19"/>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20" w:name="联系人电话Add"/>
            <w:r>
              <w:rPr>
                <w:rFonts w:ascii="宋体"/>
                <w:b/>
                <w:sz w:val="21"/>
              </w:rPr>
              <w:t>18108194368</w:t>
            </w:r>
            <w:bookmarkEnd w:id="20"/>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1" w:name="联系人传真"/>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2" w:name="法人"/>
            <w:r>
              <w:rPr>
                <w:rFonts w:ascii="宋体" w:hAnsi="宋体"/>
                <w:b/>
                <w:sz w:val="21"/>
                <w:szCs w:val="21"/>
              </w:rPr>
              <w:t>张吉林</w:t>
            </w:r>
            <w:bookmarkEnd w:id="22"/>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r>
              <w:rPr>
                <w:rFonts w:ascii="宋体" w:hAnsi="宋体"/>
                <w:b/>
                <w:sz w:val="21"/>
                <w:szCs w:val="21"/>
              </w:rPr>
              <w:t>张吉林</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3" w:name="管理者代表"/>
            <w:r>
              <w:rPr>
                <w:rFonts w:ascii="宋体"/>
                <w:b/>
                <w:sz w:val="21"/>
              </w:rPr>
              <w:t>谭向兵</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4" w:name="审核日期"/>
            <w:r>
              <w:rPr>
                <w:rFonts w:ascii="宋体" w:hAnsi="宋体"/>
                <w:b/>
                <w:sz w:val="21"/>
                <w:szCs w:val="21"/>
              </w:rPr>
              <w:t>2021年02月28日 上午至2021年02月28日 下午</w:t>
            </w:r>
            <w:bookmarkEnd w:id="24"/>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lang w:eastAsia="zh-CN"/>
              </w:rPr>
              <w:t>■</w:t>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5" w:name="Q勾选15Add1"/>
            <w:r>
              <w:rPr>
                <w:rFonts w:hint="eastAsia" w:ascii="宋体" w:hAnsi="宋体"/>
                <w:b/>
                <w:sz w:val="21"/>
                <w:szCs w:val="21"/>
              </w:rPr>
              <w:t>□</w:t>
            </w:r>
            <w:bookmarkEnd w:id="25"/>
            <w:r>
              <w:rPr>
                <w:rFonts w:ascii="宋体" w:hAnsi="宋体"/>
                <w:b/>
                <w:sz w:val="21"/>
                <w:szCs w:val="21"/>
              </w:rPr>
              <w:t>QMS</w:t>
            </w:r>
            <w:r>
              <w:rPr>
                <w:rFonts w:hint="eastAsia" w:ascii="宋体" w:hAnsi="宋体"/>
                <w:b/>
                <w:sz w:val="21"/>
                <w:szCs w:val="21"/>
              </w:rPr>
              <w:t>：</w:t>
            </w:r>
            <w:bookmarkStart w:id="26" w:name="QJ勾选Add1"/>
            <w:r>
              <w:rPr>
                <w:rFonts w:hint="eastAsia" w:ascii="宋体" w:hAnsi="宋体"/>
                <w:b/>
                <w:sz w:val="21"/>
                <w:szCs w:val="21"/>
              </w:rPr>
              <w:t>□</w:t>
            </w:r>
            <w:bookmarkEnd w:id="26"/>
            <w:r>
              <w:rPr>
                <w:rFonts w:hint="eastAsia" w:ascii="宋体" w:hAnsi="宋体"/>
                <w:b/>
                <w:sz w:val="21"/>
                <w:szCs w:val="21"/>
              </w:rPr>
              <w:t>5</w:t>
            </w:r>
            <w:r>
              <w:rPr>
                <w:rFonts w:ascii="宋体" w:hAnsi="宋体"/>
                <w:b/>
                <w:sz w:val="21"/>
                <w:szCs w:val="21"/>
              </w:rPr>
              <w:t>0430</w:t>
            </w:r>
          </w:p>
          <w:p>
            <w:pPr>
              <w:spacing w:line="360" w:lineRule="exact"/>
              <w:rPr>
                <w:rFonts w:hint="eastAsia" w:ascii="宋体" w:hAnsi="宋体" w:eastAsia="宋体"/>
                <w:b/>
                <w:sz w:val="21"/>
                <w:szCs w:val="21"/>
                <w:lang w:eastAsia="zh-CN"/>
              </w:rPr>
            </w:pPr>
            <w:bookmarkStart w:id="27" w:name="E勾选Add1"/>
            <w:r>
              <w:rPr>
                <w:rFonts w:hint="eastAsia" w:ascii="宋体" w:hAnsi="宋体"/>
                <w:b/>
                <w:sz w:val="21"/>
                <w:szCs w:val="21"/>
              </w:rPr>
              <w:t>■</w:t>
            </w:r>
            <w:bookmarkEnd w:id="27"/>
            <w:r>
              <w:rPr>
                <w:rFonts w:ascii="宋体" w:hAnsi="宋体"/>
                <w:b/>
                <w:sz w:val="21"/>
                <w:szCs w:val="21"/>
              </w:rPr>
              <w:t>EMS</w:t>
            </w:r>
            <w:r>
              <w:rPr>
                <w:rFonts w:hint="eastAsia" w:ascii="宋体" w:hAnsi="宋体"/>
                <w:b/>
                <w:sz w:val="21"/>
                <w:szCs w:val="21"/>
              </w:rPr>
              <w:t>：</w:t>
            </w:r>
            <w:bookmarkStart w:id="28" w:name="审核范围"/>
            <w:r>
              <w:rPr>
                <w:sz w:val="20"/>
              </w:rPr>
              <w:t>无线电测试设备、无线电仿真设备及无线信号处理设备的设计、销售所涉及的相关环境管理活动</w:t>
            </w:r>
            <w:bookmarkEnd w:id="28"/>
            <w:r>
              <w:rPr>
                <w:rFonts w:hint="eastAsia"/>
                <w:sz w:val="20"/>
                <w:lang w:eastAsia="zh-CN"/>
              </w:rPr>
              <w:t>。</w:t>
            </w:r>
          </w:p>
          <w:p>
            <w:pPr>
              <w:spacing w:line="360" w:lineRule="exact"/>
              <w:rPr>
                <w:rFonts w:ascii="宋体" w:hAnsi="宋体"/>
                <w:b/>
                <w:sz w:val="21"/>
                <w:szCs w:val="21"/>
              </w:rPr>
            </w:pPr>
            <w:bookmarkStart w:id="29" w:name="S勾选Add2"/>
            <w:r>
              <w:rPr>
                <w:rFonts w:hint="eastAsia" w:ascii="宋体" w:hAnsi="宋体"/>
                <w:b/>
                <w:sz w:val="21"/>
                <w:szCs w:val="21"/>
              </w:rPr>
              <w:t>□</w:t>
            </w:r>
            <w:bookmarkEnd w:id="29"/>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6"/>
          </w:tcPr>
          <w:p>
            <w:pPr>
              <w:numPr>
                <w:ilvl w:val="0"/>
                <w:numId w:val="1"/>
              </w:numPr>
              <w:rPr>
                <w:rFonts w:hint="eastAsia"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r>
              <w:rPr>
                <w:rFonts w:hint="eastAsia" w:ascii="宋体" w:hAnsi="宋体"/>
                <w:b/>
                <w:sz w:val="21"/>
                <w:szCs w:val="21"/>
              </w:rPr>
              <w:t>人数变更：原人数：15人；</w:t>
            </w:r>
          </w:p>
          <w:p>
            <w:pPr>
              <w:numPr>
                <w:ilvl w:val="0"/>
                <w:numId w:val="0"/>
              </w:numPr>
              <w:rPr>
                <w:rFonts w:hint="eastAsia" w:ascii="宋体" w:hAnsi="宋体"/>
                <w:b/>
                <w:sz w:val="21"/>
                <w:szCs w:val="21"/>
              </w:rPr>
            </w:pPr>
            <w:r>
              <w:rPr>
                <w:rFonts w:hint="eastAsia" w:ascii="宋体" w:hAnsi="宋体"/>
                <w:b/>
                <w:sz w:val="21"/>
                <w:szCs w:val="21"/>
              </w:rPr>
              <w:t xml:space="preserve">            </w:t>
            </w:r>
            <w:r>
              <w:rPr>
                <w:rFonts w:hint="eastAsia" w:ascii="宋体" w:hAnsi="宋体"/>
                <w:b/>
                <w:sz w:val="21"/>
                <w:szCs w:val="21"/>
                <w:lang w:val="en-US" w:eastAsia="zh-CN"/>
              </w:rPr>
              <w:t xml:space="preserve">                   </w:t>
            </w:r>
            <w:r>
              <w:rPr>
                <w:rFonts w:hint="eastAsia" w:ascii="宋体" w:hAnsi="宋体"/>
                <w:b/>
                <w:sz w:val="21"/>
                <w:szCs w:val="21"/>
              </w:rPr>
              <w:t>现人数：79人。</w:t>
            </w:r>
          </w:p>
          <w:p>
            <w:pPr>
              <w:spacing w:line="360" w:lineRule="exact"/>
              <w:rPr>
                <w:rFonts w:ascii="宋体" w:hAnsi="宋体"/>
                <w:b/>
                <w:sz w:val="21"/>
                <w:szCs w:val="21"/>
              </w:rPr>
            </w:pP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30" w:name="专业代码"/>
            <w:r>
              <w:rPr>
                <w:rFonts w:ascii="宋体" w:hAnsi="宋体"/>
                <w:b/>
                <w:sz w:val="21"/>
                <w:szCs w:val="21"/>
              </w:rPr>
              <w:t>29.12.00;34.05.00</w:t>
            </w:r>
            <w:bookmarkEnd w:id="30"/>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ascii="宋体" w:hAnsi="宋体"/>
                <w:b/>
                <w:sz w:val="21"/>
                <w:szCs w:val="21"/>
              </w:rPr>
            </w:pPr>
            <w:r>
              <w:rPr>
                <w:rFonts w:hint="eastAsia" w:ascii="宋体" w:hAnsi="宋体"/>
                <w:b/>
                <w:sz w:val="21"/>
                <w:szCs w:val="21"/>
                <w:lang w:val="en-US" w:eastAsia="zh-CN"/>
              </w:rPr>
              <w:t>2021.12.20</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2019.12.23</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w:t>
      </w:r>
      <w:r>
        <w:rPr>
          <w:rFonts w:hint="eastAsia" w:ascii="宋体" w:hAnsi="宋体"/>
          <w:b/>
          <w:sz w:val="21"/>
          <w:szCs w:val="21"/>
          <w:highlight w:val="none"/>
        </w:rPr>
        <w:t>从上次审核结束日的</w:t>
      </w:r>
      <w:r>
        <w:rPr>
          <w:rFonts w:hint="eastAsia" w:ascii="宋体" w:hAnsi="宋体"/>
          <w:b/>
          <w:sz w:val="21"/>
          <w:szCs w:val="21"/>
          <w:highlight w:val="none"/>
          <w:lang w:val="en-US" w:eastAsia="zh-CN"/>
        </w:rPr>
        <w:t xml:space="preserve"> 2019</w:t>
      </w:r>
      <w:r>
        <w:rPr>
          <w:rFonts w:hint="eastAsia" w:ascii="宋体" w:hAnsi="宋体"/>
          <w:b/>
          <w:sz w:val="21"/>
          <w:szCs w:val="21"/>
          <w:highlight w:val="none"/>
        </w:rPr>
        <w:t>年</w:t>
      </w:r>
      <w:r>
        <w:rPr>
          <w:rFonts w:hint="eastAsia" w:ascii="宋体" w:hAnsi="宋体"/>
          <w:b/>
          <w:sz w:val="21"/>
          <w:szCs w:val="21"/>
          <w:highlight w:val="none"/>
          <w:lang w:val="en-US" w:eastAsia="zh-CN"/>
        </w:rPr>
        <w:t>12</w:t>
      </w:r>
      <w:r>
        <w:rPr>
          <w:rFonts w:hint="eastAsia" w:ascii="宋体" w:hAnsi="宋体"/>
          <w:b/>
          <w:sz w:val="21"/>
          <w:szCs w:val="21"/>
          <w:highlight w:val="none"/>
        </w:rPr>
        <w:t>月</w:t>
      </w:r>
      <w:r>
        <w:rPr>
          <w:rFonts w:hint="eastAsia" w:ascii="宋体" w:hAnsi="宋体"/>
          <w:b/>
          <w:sz w:val="21"/>
          <w:szCs w:val="21"/>
          <w:highlight w:val="none"/>
          <w:lang w:val="en-US" w:eastAsia="zh-CN"/>
        </w:rPr>
        <w:t>23</w:t>
      </w:r>
      <w:r>
        <w:rPr>
          <w:rFonts w:hint="eastAsia" w:ascii="宋体" w:hAnsi="宋体"/>
          <w:b/>
          <w:sz w:val="21"/>
          <w:szCs w:val="21"/>
          <w:highlight w:val="none"/>
        </w:rPr>
        <w:t>日至</w:t>
      </w:r>
      <w:r>
        <w:rPr>
          <w:rFonts w:hint="eastAsia" w:ascii="宋体" w:hAnsi="宋体"/>
          <w:b/>
          <w:sz w:val="21"/>
          <w:szCs w:val="21"/>
          <w:highlight w:val="none"/>
          <w:lang w:val="en-US" w:eastAsia="zh-CN"/>
        </w:rPr>
        <w:t>2021</w:t>
      </w:r>
      <w:r>
        <w:rPr>
          <w:rFonts w:hint="eastAsia" w:ascii="宋体" w:hAnsi="宋体"/>
          <w:b/>
          <w:sz w:val="21"/>
          <w:szCs w:val="21"/>
          <w:highlight w:val="none"/>
        </w:rPr>
        <w:t>年</w:t>
      </w:r>
      <w:r>
        <w:rPr>
          <w:rFonts w:hint="eastAsia" w:ascii="宋体" w:hAnsi="宋体"/>
          <w:b/>
          <w:sz w:val="21"/>
          <w:szCs w:val="21"/>
          <w:highlight w:val="none"/>
          <w:lang w:val="en-US" w:eastAsia="zh-CN"/>
        </w:rPr>
        <w:t>2</w:t>
      </w:r>
      <w:r>
        <w:rPr>
          <w:rFonts w:hint="eastAsia" w:ascii="宋体" w:hAnsi="宋体"/>
          <w:b/>
          <w:sz w:val="21"/>
          <w:szCs w:val="21"/>
          <w:highlight w:val="none"/>
        </w:rPr>
        <w:t>月</w:t>
      </w:r>
      <w:r>
        <w:rPr>
          <w:rFonts w:hint="eastAsia" w:ascii="宋体" w:hAnsi="宋体"/>
          <w:b/>
          <w:sz w:val="21"/>
          <w:szCs w:val="21"/>
          <w:highlight w:val="none"/>
          <w:lang w:val="en-US" w:eastAsia="zh-CN"/>
        </w:rPr>
        <w:t>28</w:t>
      </w:r>
      <w:r>
        <w:rPr>
          <w:rFonts w:hint="eastAsia" w:ascii="宋体" w:hAnsi="宋体"/>
          <w:b/>
          <w:sz w:val="21"/>
          <w:szCs w:val="21"/>
          <w:highlight w:val="none"/>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exact"/>
              <w:rPr>
                <w:rFonts w:hint="eastAsia" w:ascii="宋体" w:hAnsi="宋体" w:eastAsia="宋体"/>
                <w:b/>
                <w:sz w:val="21"/>
                <w:szCs w:val="21"/>
                <w:lang w:eastAsia="zh-CN"/>
              </w:rPr>
            </w:pPr>
            <w:r>
              <w:rPr>
                <w:rFonts w:hint="eastAsia" w:ascii="宋体" w:hAnsi="宋体"/>
                <w:sz w:val="21"/>
                <w:szCs w:val="21"/>
              </w:rPr>
              <w:t>成都坤恒顺维科技股份有限公司是注册于成都高新区的高新技术企业，公司主要业务为无线电实物仿真、无线电测试、无线信号处理产品的研发、生产和销售，以及上述领域的技术开发服务</w:t>
            </w:r>
            <w:r>
              <w:rPr>
                <w:rFonts w:hint="eastAsia" w:ascii="宋体" w:hAnsi="宋体"/>
                <w:sz w:val="21"/>
                <w:szCs w:val="21"/>
                <w:lang w:eastAsia="zh-CN"/>
              </w:rPr>
              <w:t>。</w:t>
            </w:r>
            <w:r>
              <w:rPr>
                <w:rFonts w:hint="eastAsia" w:ascii="宋体" w:hAnsi="宋体"/>
                <w:sz w:val="21"/>
                <w:szCs w:val="21"/>
                <w:lang w:val="en-US" w:eastAsia="zh-CN"/>
              </w:rPr>
              <w:t>组织人数有变更，</w:t>
            </w:r>
            <w:r>
              <w:rPr>
                <w:rFonts w:hint="eastAsia" w:ascii="宋体" w:hAnsi="宋体"/>
                <w:sz w:val="21"/>
                <w:szCs w:val="21"/>
              </w:rPr>
              <w:t>现有员工数</w:t>
            </w:r>
            <w:r>
              <w:rPr>
                <w:rFonts w:hint="eastAsia" w:ascii="宋体" w:hAnsi="宋体"/>
                <w:sz w:val="21"/>
                <w:szCs w:val="21"/>
                <w:lang w:val="en-US" w:eastAsia="zh-CN"/>
              </w:rPr>
              <w:t>79</w:t>
            </w:r>
            <w:r>
              <w:rPr>
                <w:rFonts w:hint="eastAsia" w:ascii="宋体" w:hAnsi="宋体"/>
                <w:sz w:val="21"/>
                <w:szCs w:val="21"/>
              </w:rPr>
              <w:t>人，经营状况良好。组织对内外部因素、相关方需求和期望进行了充分的识别，策划和实施有效。确定了体系的边界，基本适用。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40" w:lineRule="exact"/>
              <w:rPr>
                <w:rFonts w:hint="eastAsia" w:ascii="宋体" w:hAnsi="宋体"/>
                <w:b/>
                <w:sz w:val="21"/>
                <w:szCs w:val="21"/>
              </w:rPr>
            </w:pPr>
            <w:r>
              <w:rPr>
                <w:rFonts w:hint="eastAsia" w:ascii="宋体" w:hAnsi="宋体"/>
                <w:b/>
                <w:sz w:val="21"/>
                <w:szCs w:val="21"/>
              </w:rPr>
              <w:t>相关方需求和期望识别情况</w:t>
            </w:r>
          </w:p>
          <w:p>
            <w:pPr>
              <w:numPr>
                <w:ilvl w:val="0"/>
                <w:numId w:val="0"/>
              </w:numPr>
              <w:spacing w:line="240" w:lineRule="exact"/>
              <w:ind w:firstLine="420" w:firstLineChars="200"/>
              <w:rPr>
                <w:rFonts w:hint="eastAsia" w:ascii="宋体" w:hAnsi="宋体"/>
                <w:b/>
                <w:sz w:val="21"/>
                <w:szCs w:val="21"/>
              </w:rPr>
            </w:pPr>
            <w:r>
              <w:rPr>
                <w:rFonts w:hint="eastAsia" w:ascii="宋体" w:hAnsi="宋体" w:cs="宋体"/>
                <w:color w:val="000000"/>
                <w:sz w:val="21"/>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3"/>
              </w:numPr>
              <w:spacing w:line="280" w:lineRule="exact"/>
              <w:rPr>
                <w:rFonts w:hint="eastAsia" w:ascii="宋体" w:hAnsi="宋体"/>
                <w:b/>
                <w:sz w:val="21"/>
                <w:szCs w:val="21"/>
              </w:rPr>
            </w:pPr>
            <w:r>
              <w:rPr>
                <w:rFonts w:hint="eastAsia" w:ascii="宋体" w:hAnsi="宋体"/>
                <w:b/>
                <w:sz w:val="21"/>
                <w:szCs w:val="21"/>
              </w:rPr>
              <w:t>□质量</w:t>
            </w:r>
            <w:r>
              <w:rPr>
                <w:rFonts w:ascii="宋体" w:hAnsi="宋体"/>
                <w:b/>
                <w:sz w:val="21"/>
                <w:szCs w:val="21"/>
              </w:rPr>
              <w:t>/</w:t>
            </w:r>
            <w:r>
              <w:rPr>
                <w:rFonts w:hint="eastAsia" w:ascii="宋体" w:hAnsi="宋体"/>
                <w:b/>
                <w:sz w:val="21"/>
                <w:szCs w:val="21"/>
                <w:lang w:eastAsia="zh-CN"/>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spacing w:line="400" w:lineRule="exact"/>
              <w:ind w:firstLine="420" w:firstLineChars="200"/>
              <w:rPr>
                <w:rFonts w:hint="eastAsia" w:ascii="宋体" w:hAnsi="宋体"/>
                <w:b/>
                <w:sz w:val="21"/>
                <w:szCs w:val="21"/>
              </w:rPr>
            </w:pPr>
            <w:r>
              <w:rPr>
                <w:rFonts w:hint="eastAsia" w:ascii="宋体" w:hAnsi="宋体" w:cs="宋体"/>
                <w:color w:val="000000"/>
                <w:sz w:val="21"/>
                <w:szCs w:val="21"/>
              </w:rPr>
              <w:t>组织的</w:t>
            </w:r>
            <w:r>
              <w:rPr>
                <w:rFonts w:hint="eastAsia" w:ascii="宋体" w:hAnsi="宋体" w:cs="宋体"/>
                <w:color w:val="000000"/>
                <w:sz w:val="21"/>
                <w:szCs w:val="21"/>
                <w:lang w:eastAsia="zh-CN"/>
              </w:rPr>
              <w:t>环境</w:t>
            </w:r>
            <w:r>
              <w:rPr>
                <w:rFonts w:hint="eastAsia" w:ascii="宋体" w:hAnsi="宋体" w:cs="宋体"/>
                <w:color w:val="000000"/>
                <w:sz w:val="21"/>
                <w:szCs w:val="21"/>
                <w:lang w:val="en-US" w:eastAsia="zh-CN"/>
              </w:rPr>
              <w:t>管理</w:t>
            </w:r>
            <w:r>
              <w:rPr>
                <w:rFonts w:hint="eastAsia" w:ascii="宋体" w:hAnsi="宋体" w:cs="宋体"/>
                <w:color w:val="000000"/>
                <w:sz w:val="21"/>
                <w:szCs w:val="21"/>
              </w:rPr>
              <w:t>方针为：</w:t>
            </w:r>
            <w:r>
              <w:rPr>
                <w:rFonts w:hint="eastAsia" w:ascii="宋体" w:hAnsi="宋体"/>
                <w:color w:val="000000"/>
                <w:sz w:val="21"/>
                <w:szCs w:val="21"/>
              </w:rPr>
              <w:t>“遵守法律法规</w:t>
            </w:r>
            <w:r>
              <w:rPr>
                <w:rFonts w:hint="eastAsia" w:ascii="宋体" w:hAnsi="宋体"/>
                <w:color w:val="000000"/>
                <w:sz w:val="21"/>
                <w:szCs w:val="21"/>
                <w:lang w:eastAsia="zh-CN"/>
              </w:rPr>
              <w:t>、</w:t>
            </w:r>
            <w:r>
              <w:rPr>
                <w:rFonts w:hint="eastAsia" w:ascii="宋体" w:hAnsi="宋体"/>
                <w:color w:val="000000"/>
                <w:sz w:val="21"/>
                <w:szCs w:val="21"/>
              </w:rPr>
              <w:t>制造绿色产品</w:t>
            </w:r>
            <w:r>
              <w:rPr>
                <w:rFonts w:hint="eastAsia" w:ascii="宋体" w:hAnsi="宋体"/>
                <w:color w:val="000000"/>
                <w:sz w:val="21"/>
                <w:szCs w:val="21"/>
                <w:lang w:eastAsia="zh-CN"/>
              </w:rPr>
              <w:t>、</w:t>
            </w:r>
            <w:r>
              <w:rPr>
                <w:rFonts w:hint="eastAsia" w:ascii="宋体" w:hAnsi="宋体"/>
                <w:color w:val="000000"/>
                <w:sz w:val="21"/>
                <w:szCs w:val="21"/>
              </w:rPr>
              <w:t>节能降耗降废</w:t>
            </w:r>
            <w:r>
              <w:rPr>
                <w:rFonts w:hint="eastAsia" w:ascii="宋体" w:hAnsi="宋体"/>
                <w:color w:val="000000"/>
                <w:sz w:val="21"/>
                <w:szCs w:val="21"/>
                <w:lang w:eastAsia="zh-CN"/>
              </w:rPr>
              <w:t>、</w:t>
            </w:r>
            <w:r>
              <w:rPr>
                <w:rFonts w:hint="eastAsia" w:ascii="宋体" w:hAnsi="宋体"/>
                <w:color w:val="000000"/>
                <w:sz w:val="21"/>
                <w:szCs w:val="21"/>
              </w:rPr>
              <w:t>清洁安全服务</w:t>
            </w:r>
            <w:r>
              <w:rPr>
                <w:rFonts w:hint="eastAsia" w:ascii="宋体" w:hAnsi="宋体"/>
                <w:color w:val="000000"/>
                <w:sz w:val="21"/>
                <w:szCs w:val="21"/>
                <w:lang w:eastAsia="zh-CN"/>
              </w:rPr>
              <w:t>、</w:t>
            </w:r>
            <w:r>
              <w:rPr>
                <w:rFonts w:hint="eastAsia" w:ascii="宋体" w:hAnsi="宋体"/>
                <w:color w:val="000000"/>
                <w:sz w:val="21"/>
                <w:szCs w:val="21"/>
              </w:rPr>
              <w:t>管理持续改进</w:t>
            </w:r>
            <w:r>
              <w:rPr>
                <w:rFonts w:hint="eastAsia" w:ascii="宋体" w:hAnsi="宋体"/>
                <w:color w:val="000000"/>
                <w:sz w:val="21"/>
                <w:szCs w:val="21"/>
                <w:lang w:eastAsia="zh-CN"/>
              </w:rPr>
              <w:t>、</w:t>
            </w:r>
            <w:r>
              <w:rPr>
                <w:rFonts w:hint="eastAsia" w:ascii="宋体" w:hAnsi="宋体"/>
                <w:color w:val="000000"/>
                <w:sz w:val="21"/>
                <w:szCs w:val="21"/>
              </w:rPr>
              <w:t xml:space="preserve"> 建设美好家园”。</w:t>
            </w:r>
            <w:r>
              <w:rPr>
                <w:rFonts w:hint="eastAsia" w:ascii="宋体" w:hAnsi="宋体" w:cs="宋体"/>
                <w:color w:val="000000"/>
                <w:sz w:val="21"/>
                <w:szCs w:val="21"/>
              </w:rPr>
              <w:t>最高管理者组织制定了方针：现行的</w:t>
            </w:r>
            <w:r>
              <w:rPr>
                <w:rFonts w:hint="eastAsia" w:ascii="宋体" w:hAnsi="宋体" w:cs="宋体"/>
                <w:color w:val="000000"/>
                <w:sz w:val="21"/>
                <w:szCs w:val="21"/>
                <w:lang w:eastAsia="zh-CN"/>
              </w:rPr>
              <w:t>环境</w:t>
            </w:r>
            <w:r>
              <w:rPr>
                <w:rFonts w:hint="eastAsia" w:ascii="宋体" w:hAnsi="宋体" w:cs="宋体"/>
                <w:color w:val="000000"/>
                <w:sz w:val="21"/>
                <w:szCs w:val="21"/>
              </w:rPr>
              <w:t>方针在</w:t>
            </w:r>
            <w:r>
              <w:rPr>
                <w:rFonts w:hint="eastAsia" w:ascii="宋体" w:hAnsi="宋体" w:cs="宋体"/>
                <w:color w:val="000000"/>
                <w:sz w:val="21"/>
                <w:szCs w:val="21"/>
                <w:lang w:eastAsia="zh-CN"/>
              </w:rPr>
              <w:t>环境</w:t>
            </w:r>
            <w:r>
              <w:rPr>
                <w:rFonts w:hint="eastAsia" w:ascii="宋体" w:hAnsi="宋体" w:cs="宋体"/>
                <w:color w:val="000000"/>
                <w:sz w:val="21"/>
                <w:szCs w:val="21"/>
              </w:rPr>
              <w:t>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3"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80" w:lineRule="exact"/>
              <w:ind w:left="0" w:leftChars="0" w:firstLine="0" w:firstLineChars="0"/>
              <w:rPr>
                <w:rFonts w:hint="eastAsia" w:ascii="宋体" w:hAnsi="宋体"/>
                <w:b/>
                <w:sz w:val="21"/>
                <w:szCs w:val="21"/>
              </w:rPr>
            </w:pPr>
            <w:r>
              <w:rPr>
                <w:rFonts w:hint="eastAsia" w:ascii="宋体" w:hAnsi="宋体"/>
                <w:b/>
                <w:sz w:val="21"/>
                <w:szCs w:val="21"/>
              </w:rPr>
              <w:t>风险识别与控制策划</w:t>
            </w:r>
          </w:p>
          <w:p>
            <w:pPr>
              <w:numPr>
                <w:ilvl w:val="0"/>
                <w:numId w:val="0"/>
              </w:numPr>
              <w:spacing w:line="280" w:lineRule="exact"/>
              <w:ind w:leftChars="0"/>
              <w:rPr>
                <w:rFonts w:hint="eastAsia" w:ascii="宋体" w:hAnsi="宋体"/>
                <w:b/>
                <w:sz w:val="21"/>
                <w:szCs w:val="21"/>
              </w:rPr>
            </w:pPr>
            <w:r>
              <w:rPr>
                <w:rFonts w:hint="eastAsia" w:ascii="宋体" w:hAnsi="宋体" w:cs="宋体"/>
                <w:color w:val="000000"/>
                <w:sz w:val="21"/>
                <w:szCs w:val="21"/>
              </w:rPr>
              <w:t>公司了建立了风险和机遇应对措施的管控文件《风险识别和应对控制程序》，并在体系运行中加以应用，符合标准要求。从现场及资料确认：主要风险和机遇的应对措施得当，应对效果基本满足要求。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质量管理体系过程有：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其中关键过程有</w:t>
            </w:r>
          </w:p>
          <w:p>
            <w:pPr>
              <w:tabs>
                <w:tab w:val="left" w:pos="540"/>
              </w:tabs>
              <w:spacing w:line="300" w:lineRule="exact"/>
              <w:ind w:left="211" w:hanging="211" w:hangingChars="100"/>
              <w:rPr>
                <w:rFonts w:ascii="宋体" w:hAnsi="宋体"/>
                <w:b/>
                <w:sz w:val="21"/>
                <w:szCs w:val="21"/>
              </w:rPr>
            </w:pPr>
            <w:r>
              <w:rPr>
                <w:rFonts w:hint="eastAsia" w:ascii="宋体" w:hAnsi="宋体"/>
                <w:b/>
                <w:sz w:val="21"/>
                <w:szCs w:val="21"/>
              </w:rPr>
              <w:t>需要确认过程</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2051" o:spid="_x0000_s2051" o:spt="32" type="#_x0000_t32" style="position:absolute;left:0pt;margin-left:157.9pt;margin-top:12.75pt;height:0pt;width:261.75pt;z-index:251661312;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2052" o:spid="_x0000_s2052"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删减条款是，删减理由：</w:t>
            </w:r>
          </w:p>
          <w:p>
            <w:pPr>
              <w:tabs>
                <w:tab w:val="left" w:pos="540"/>
              </w:tabs>
              <w:spacing w:line="300" w:lineRule="exact"/>
              <w:ind w:left="211" w:hanging="211" w:hangingChars="100"/>
              <w:rPr>
                <w:rFonts w:ascii="宋体" w:hAnsi="宋体"/>
                <w:b/>
                <w:sz w:val="21"/>
                <w:szCs w:val="21"/>
              </w:rPr>
            </w:pPr>
          </w:p>
          <w:p>
            <w:pPr>
              <w:tabs>
                <w:tab w:val="left" w:pos="540"/>
              </w:tabs>
              <w:spacing w:line="300" w:lineRule="exact"/>
              <w:ind w:left="211" w:hanging="211" w:hangingChars="100"/>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1"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ascii="宋体" w:hAnsi="宋体"/>
                <w:b/>
                <w:sz w:val="21"/>
                <w:szCs w:val="21"/>
              </w:rPr>
            </w:pPr>
            <w:r>
              <w:rPr>
                <w:rFonts w:hint="eastAsia" w:ascii="宋体" w:hAnsi="宋体" w:eastAsia="宋体" w:cs="宋体"/>
                <w:bCs/>
                <w:iCs/>
                <w:sz w:val="21"/>
                <w:szCs w:val="21"/>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w:t>
            </w:r>
            <w:r>
              <w:rPr>
                <w:rFonts w:hint="eastAsia" w:ascii="宋体" w:hAnsi="宋体" w:eastAsia="宋体" w:cs="宋体"/>
                <w:bCs/>
                <w:iCs/>
                <w:sz w:val="21"/>
                <w:szCs w:val="21"/>
                <w:lang w:val="en-US" w:eastAsia="zh-CN"/>
              </w:rPr>
              <w:t>管理方案</w:t>
            </w:r>
            <w:r>
              <w:rPr>
                <w:rFonts w:hint="eastAsia" w:ascii="宋体" w:hAnsi="宋体" w:eastAsia="宋体" w:cs="宋体"/>
                <w:bCs/>
                <w:iCs/>
                <w:sz w:val="21"/>
                <w:szCs w:val="21"/>
              </w:rPr>
              <w:t>等</w:t>
            </w:r>
            <w:r>
              <w:rPr>
                <w:rFonts w:hint="eastAsia" w:ascii="宋体" w:hAnsi="宋体" w:eastAsia="宋体" w:cs="宋体"/>
                <w:bCs/>
                <w:i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40" w:lineRule="exact"/>
              <w:rPr>
                <w:rFonts w:hint="eastAsia" w:ascii="宋体" w:hAnsi="宋体"/>
                <w:b/>
                <w:sz w:val="21"/>
                <w:szCs w:val="21"/>
                <w:lang w:val="en-US" w:eastAsia="zh-CN"/>
              </w:rPr>
            </w:pPr>
            <w:r>
              <w:rPr>
                <w:rFonts w:hint="eastAsia" w:ascii="宋体" w:hAnsi="宋体"/>
                <w:b/>
                <w:sz w:val="21"/>
                <w:szCs w:val="21"/>
                <w:lang w:val="en-US" w:eastAsia="zh-CN"/>
              </w:rPr>
              <w:t>/</w:t>
            </w:r>
          </w:p>
          <w:p>
            <w:pPr>
              <w:spacing w:line="240" w:lineRule="exact"/>
              <w:rPr>
                <w:rFonts w:hint="default" w:ascii="宋体" w:hAnsi="宋体"/>
                <w:b/>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3"/>
              <w:numPr>
                <w:ilvl w:val="0"/>
                <w:numId w:val="4"/>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3"/>
              <w:numPr>
                <w:ilvl w:val="0"/>
                <w:numId w:val="4"/>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3"/>
              <w:numPr>
                <w:ilvl w:val="0"/>
                <w:numId w:val="4"/>
              </w:numPr>
              <w:tabs>
                <w:tab w:val="left" w:pos="540"/>
              </w:tabs>
              <w:spacing w:line="300" w:lineRule="exact"/>
              <w:ind w:firstLineChars="0"/>
              <w:rPr>
                <w:rFonts w:ascii="宋体" w:hAnsi="宋体"/>
                <w:b/>
                <w:szCs w:val="21"/>
              </w:rPr>
            </w:pPr>
            <w:r>
              <w:rPr>
                <w:rFonts w:hint="eastAsia" w:ascii="宋体" w:hAnsi="宋体"/>
                <w:b/>
                <w:szCs w:val="21"/>
              </w:rPr>
              <w:t>法律法规的宣传方式：</w:t>
            </w:r>
          </w:p>
          <w:p>
            <w:pPr>
              <w:pStyle w:val="13"/>
              <w:numPr>
                <w:ilvl w:val="0"/>
                <w:numId w:val="4"/>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hint="eastAsia"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300" w:lineRule="exact"/>
              <w:ind w:firstLine="420" w:firstLineChars="200"/>
              <w:rPr>
                <w:rFonts w:hint="eastAsia" w:ascii="宋体" w:hAnsi="宋体" w:cs="宋体"/>
                <w:color w:val="000000"/>
                <w:kern w:val="0"/>
                <w:sz w:val="21"/>
                <w:szCs w:val="21"/>
                <w:lang w:eastAsia="zh-CN"/>
              </w:rPr>
            </w:pPr>
            <w:r>
              <w:rPr>
                <w:rFonts w:hint="eastAsia" w:ascii="宋体" w:hAnsi="宋体" w:cs="宋体"/>
                <w:color w:val="000000"/>
                <w:kern w:val="0"/>
                <w:sz w:val="21"/>
                <w:szCs w:val="21"/>
              </w:rPr>
              <w:t>公司制定、发布了总体</w:t>
            </w:r>
            <w:r>
              <w:rPr>
                <w:rFonts w:hint="eastAsia" w:ascii="宋体" w:hAnsi="宋体" w:cs="宋体"/>
                <w:color w:val="000000"/>
                <w:kern w:val="0"/>
                <w:sz w:val="21"/>
                <w:szCs w:val="21"/>
                <w:lang w:eastAsia="zh-CN"/>
              </w:rPr>
              <w:t>环境</w:t>
            </w:r>
            <w:r>
              <w:rPr>
                <w:rFonts w:hint="eastAsia" w:ascii="宋体" w:hAnsi="宋体" w:cs="宋体"/>
                <w:color w:val="000000"/>
                <w:kern w:val="0"/>
                <w:sz w:val="21"/>
                <w:szCs w:val="21"/>
              </w:rPr>
              <w:t>目标并分解到相关职能部门和层次，规定了目标值、计算方法、责任部门、检查人、考核频次等。同时，</w:t>
            </w:r>
            <w:r>
              <w:rPr>
                <w:rFonts w:hint="eastAsia" w:ascii="宋体" w:hAnsi="宋体" w:cs="宋体"/>
                <w:color w:val="000000"/>
                <w:kern w:val="0"/>
                <w:sz w:val="21"/>
                <w:szCs w:val="21"/>
                <w:lang w:eastAsia="zh-CN"/>
              </w:rPr>
              <w:t>环境</w:t>
            </w:r>
            <w:r>
              <w:rPr>
                <w:rFonts w:hint="eastAsia" w:ascii="宋体" w:hAnsi="宋体" w:cs="宋体"/>
                <w:color w:val="000000"/>
                <w:kern w:val="0"/>
                <w:sz w:val="21"/>
                <w:szCs w:val="21"/>
              </w:rPr>
              <w:t>目标得到沟通和监视评价，通过数据的汇总统计、描述性统计等方法对目标进行了测量，总体已达到规定的目标值</w:t>
            </w:r>
            <w:r>
              <w:rPr>
                <w:rFonts w:hint="eastAsia" w:ascii="宋体" w:hAnsi="宋体" w:cs="宋体"/>
                <w:color w:val="000000"/>
                <w:kern w:val="0"/>
                <w:sz w:val="21"/>
                <w:szCs w:val="21"/>
                <w:lang w:eastAsia="zh-CN"/>
              </w:rPr>
              <w:t>。</w:t>
            </w:r>
          </w:p>
          <w:p>
            <w:pPr>
              <w:rPr>
                <w:rFonts w:hint="eastAsia"/>
                <w:sz w:val="21"/>
                <w:szCs w:val="21"/>
              </w:rPr>
            </w:pPr>
            <w:r>
              <w:rPr>
                <w:rFonts w:hint="eastAsia"/>
                <w:sz w:val="21"/>
                <w:szCs w:val="21"/>
                <w:lang w:eastAsia="zh-CN"/>
              </w:rPr>
              <w:t>环境</w:t>
            </w:r>
            <w:r>
              <w:rPr>
                <w:rFonts w:hint="eastAsia"/>
                <w:sz w:val="21"/>
                <w:szCs w:val="21"/>
              </w:rPr>
              <w:t>目标</w:t>
            </w:r>
            <w:r>
              <w:rPr>
                <w:rFonts w:hint="eastAsia"/>
                <w:sz w:val="21"/>
                <w:szCs w:val="21"/>
                <w:highlight w:val="none"/>
              </w:rPr>
              <w:t>：</w:t>
            </w:r>
            <w:r>
              <w:rPr>
                <w:rFonts w:hint="eastAsia" w:ascii="Times New Roman" w:hAnsi="Times New Roman" w:cs="Times New Roman"/>
                <w:sz w:val="21"/>
                <w:szCs w:val="21"/>
                <w:highlight w:val="none"/>
                <w:lang w:eastAsia="zh-CN"/>
              </w:rPr>
              <w:t>（考核时间</w:t>
            </w:r>
            <w:r>
              <w:rPr>
                <w:rFonts w:hint="eastAsia" w:ascii="Times New Roman" w:hAnsi="Times New Roman" w:cs="Times New Roman"/>
                <w:sz w:val="21"/>
                <w:szCs w:val="21"/>
                <w:highlight w:val="none"/>
                <w:lang w:val="en-US" w:eastAsia="zh-CN"/>
              </w:rPr>
              <w:t>2020年1月-</w:t>
            </w:r>
            <w:r>
              <w:rPr>
                <w:rFonts w:hint="eastAsia" w:cs="Times New Roman"/>
                <w:sz w:val="21"/>
                <w:szCs w:val="21"/>
                <w:highlight w:val="none"/>
                <w:lang w:val="en-US" w:eastAsia="zh-CN"/>
              </w:rPr>
              <w:t>2021年</w:t>
            </w:r>
            <w:r>
              <w:rPr>
                <w:rFonts w:hint="eastAsia" w:ascii="Times New Roman" w:hAnsi="Times New Roman" w:cs="Times New Roman"/>
                <w:sz w:val="21"/>
                <w:szCs w:val="21"/>
                <w:highlight w:val="none"/>
                <w:lang w:val="en-US" w:eastAsia="zh-CN"/>
              </w:rPr>
              <w:t>2月）</w:t>
            </w:r>
          </w:p>
          <w:p>
            <w:pPr>
              <w:numPr>
                <w:ilvl w:val="0"/>
                <w:numId w:val="5"/>
              </w:numPr>
              <w:snapToGrid w:val="0"/>
              <w:rPr>
                <w:rFonts w:hint="eastAsia" w:ascii="宋体" w:hAnsi="宋体" w:cs="Times New Roman"/>
                <w:color w:val="000000"/>
                <w:sz w:val="21"/>
                <w:szCs w:val="21"/>
                <w:lang w:val="en-US" w:eastAsia="zh-CN"/>
              </w:rPr>
            </w:pPr>
            <w:r>
              <w:rPr>
                <w:rFonts w:hint="eastAsia" w:ascii="宋体" w:hAnsi="宋体" w:cs="Times New Roman"/>
                <w:color w:val="000000"/>
                <w:sz w:val="21"/>
                <w:szCs w:val="21"/>
              </w:rPr>
              <w:t>固体废弃物合理处置</w:t>
            </w:r>
            <w:r>
              <w:rPr>
                <w:rFonts w:hint="eastAsia" w:ascii="宋体" w:hAnsi="宋体" w:cs="Times New Roman"/>
                <w:color w:val="000000"/>
                <w:sz w:val="21"/>
                <w:szCs w:val="21"/>
                <w:lang w:val="en-US" w:eastAsia="zh-CN"/>
              </w:rPr>
              <w:t>；          100%</w:t>
            </w:r>
          </w:p>
          <w:p>
            <w:pPr>
              <w:numPr>
                <w:ilvl w:val="0"/>
                <w:numId w:val="0"/>
              </w:numPr>
              <w:snapToGrid w:val="0"/>
              <w:rPr>
                <w:rFonts w:hint="default"/>
                <w:lang w:val="en-US" w:eastAsia="zh-CN"/>
              </w:rPr>
            </w:pPr>
            <w:r>
              <w:rPr>
                <w:rFonts w:hint="eastAsia" w:ascii="宋体" w:hAnsi="宋体"/>
                <w:color w:val="000000"/>
                <w:sz w:val="21"/>
                <w:szCs w:val="21"/>
                <w:lang w:val="en-US" w:eastAsia="zh-CN"/>
              </w:rPr>
              <w:t>2）</w:t>
            </w:r>
            <w:r>
              <w:rPr>
                <w:rFonts w:hint="eastAsia" w:ascii="宋体" w:hAnsi="宋体"/>
                <w:color w:val="000000"/>
                <w:sz w:val="21"/>
                <w:szCs w:val="21"/>
              </w:rPr>
              <w:t>环境投诉为</w:t>
            </w:r>
            <w:r>
              <w:rPr>
                <w:rFonts w:hint="eastAsia" w:ascii="宋体" w:hAnsi="宋体"/>
                <w:color w:val="000000"/>
                <w:sz w:val="21"/>
                <w:szCs w:val="21"/>
                <w:lang w:val="en-US" w:eastAsia="zh-CN"/>
              </w:rPr>
              <w:t>零；</w:t>
            </w:r>
            <w:r>
              <w:rPr>
                <w:rFonts w:hint="eastAsia" w:ascii="宋体" w:hAnsi="宋体" w:cs="Times New Roman"/>
                <w:color w:val="000000"/>
                <w:sz w:val="21"/>
                <w:szCs w:val="21"/>
                <w:lang w:val="en-US" w:eastAsia="zh-CN"/>
              </w:rPr>
              <w:t xml:space="preserve">          </w:t>
            </w:r>
            <w:r>
              <w:rPr>
                <w:rFonts w:hint="eastAsia" w:ascii="宋体" w:hAnsi="宋体" w:cs="宋体"/>
                <w:color w:val="000000"/>
                <w:kern w:val="0"/>
                <w:sz w:val="21"/>
                <w:szCs w:val="21"/>
                <w:lang w:val="en-US" w:eastAsia="zh-CN"/>
              </w:rPr>
              <w:t>未发生环境投诉事件</w:t>
            </w:r>
          </w:p>
          <w:p>
            <w:pPr>
              <w:spacing w:line="400" w:lineRule="exact"/>
              <w:rPr>
                <w:rFonts w:hint="default" w:ascii="宋体" w:hAnsi="宋体" w:eastAsia="宋体"/>
                <w:color w:val="000000"/>
                <w:sz w:val="21"/>
                <w:szCs w:val="21"/>
                <w:lang w:val="en-US" w:eastAsia="zh-CN"/>
              </w:rPr>
            </w:pPr>
            <w:r>
              <w:rPr>
                <w:rFonts w:hint="eastAsia" w:ascii="宋体" w:hAnsi="宋体"/>
                <w:color w:val="000000"/>
                <w:sz w:val="21"/>
                <w:szCs w:val="21"/>
                <w:lang w:val="en-US" w:eastAsia="zh-CN"/>
              </w:rPr>
              <w:t>3</w:t>
            </w:r>
            <w:r>
              <w:rPr>
                <w:rFonts w:hint="eastAsia" w:ascii="宋体" w:hAnsi="宋体"/>
                <w:color w:val="000000"/>
                <w:sz w:val="21"/>
                <w:szCs w:val="21"/>
              </w:rPr>
              <w:t>)火灾事故发生次数为零</w:t>
            </w:r>
            <w:r>
              <w:rPr>
                <w:rFonts w:hint="eastAsia" w:ascii="宋体" w:hAnsi="宋体"/>
                <w:color w:val="000000"/>
                <w:sz w:val="21"/>
                <w:szCs w:val="21"/>
                <w:lang w:eastAsia="zh-CN"/>
              </w:rPr>
              <w:t>；</w:t>
            </w:r>
            <w:r>
              <w:rPr>
                <w:rFonts w:hint="eastAsia" w:ascii="宋体" w:hAnsi="宋体"/>
                <w:color w:val="000000"/>
                <w:sz w:val="21"/>
                <w:szCs w:val="21"/>
                <w:lang w:val="en-US" w:eastAsia="zh-CN"/>
              </w:rPr>
              <w:t xml:space="preserve">    未发生火灾事故。</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exact"/>
              <w:ind w:firstLine="420" w:firstLineChars="200"/>
              <w:rPr>
                <w:rFonts w:ascii="宋体" w:hAnsi="宋体"/>
                <w:b/>
                <w:sz w:val="21"/>
                <w:szCs w:val="21"/>
              </w:rPr>
            </w:pPr>
            <w:r>
              <w:rPr>
                <w:rFonts w:hint="eastAsia" w:ascii="宋体" w:hAnsi="宋体" w:eastAsia="宋体" w:cs="宋体"/>
                <w:sz w:val="21"/>
                <w:szCs w:val="21"/>
              </w:rPr>
              <w:t>公司编制了《文件、记录控制程序》并按照申请认证的标准要求，建立并形成了文件化的</w:t>
            </w:r>
            <w:r>
              <w:rPr>
                <w:rFonts w:hint="eastAsia" w:ascii="宋体" w:hAnsi="宋体" w:cs="宋体"/>
                <w:sz w:val="21"/>
                <w:szCs w:val="21"/>
                <w:lang w:eastAsia="zh-CN"/>
              </w:rPr>
              <w:t>环境</w:t>
            </w:r>
            <w:r>
              <w:rPr>
                <w:rFonts w:hint="eastAsia" w:ascii="宋体" w:hAnsi="宋体" w:eastAsia="宋体" w:cs="宋体"/>
                <w:sz w:val="21"/>
                <w:szCs w:val="21"/>
              </w:rPr>
              <w:t>管理体系，体系文件对管理体系各过程进行了识别确定，明确了各要素间的相互关系及其管控要求。公司体</w:t>
            </w:r>
            <w:r>
              <w:rPr>
                <w:rFonts w:hint="eastAsia" w:ascii="宋体" w:hAnsi="宋体" w:eastAsia="宋体" w:cs="宋体"/>
                <w:sz w:val="21"/>
                <w:szCs w:val="21"/>
                <w:highlight w:val="none"/>
              </w:rPr>
              <w:t>系文件于201</w:t>
            </w: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rPr>
              <w:t>年</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rPr>
              <w:t>月1日予以发布并有效实</w:t>
            </w:r>
            <w:r>
              <w:rPr>
                <w:rFonts w:hint="eastAsia" w:ascii="宋体" w:hAnsi="宋体" w:eastAsia="宋体" w:cs="宋体"/>
                <w:sz w:val="21"/>
                <w:szCs w:val="21"/>
              </w:rPr>
              <w:t>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tabs>
                <w:tab w:val="left" w:pos="2552"/>
              </w:tabs>
              <w:spacing w:line="0" w:lineRule="atLeast"/>
              <w:ind w:firstLine="420" w:firstLineChars="20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组织按管理体系需求配置了充足的人员、设施、监视和测量设备等资源，并建立维持了人力资源管理及相关服务运行环境，可以维持管理体系的正常运行。</w:t>
            </w:r>
          </w:p>
          <w:p>
            <w:pPr>
              <w:spacing w:line="300" w:lineRule="exact"/>
              <w:rPr>
                <w:rFonts w:ascii="宋体" w:hAnsi="宋体"/>
                <w:b/>
                <w:sz w:val="21"/>
                <w:szCs w:val="21"/>
              </w:rPr>
            </w:pPr>
            <w:r>
              <w:rPr>
                <w:rFonts w:hint="eastAsia" w:ascii="宋体" w:hAnsi="宋体" w:eastAsia="宋体" w:cs="宋体"/>
                <w:kern w:val="2"/>
                <w:sz w:val="21"/>
                <w:szCs w:val="21"/>
                <w:lang w:val="en-US" w:eastAsia="zh-CN" w:bidi="ar-SA"/>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400" w:lineRule="exact"/>
              <w:rPr>
                <w:rFonts w:ascii="宋体" w:hAnsi="宋体"/>
                <w:b/>
                <w:sz w:val="21"/>
                <w:szCs w:val="21"/>
                <w:highlight w:val="none"/>
              </w:rPr>
            </w:pPr>
            <w:r>
              <w:rPr>
                <w:rFonts w:hint="eastAsia" w:ascii="宋体" w:hAnsi="宋体" w:cs="宋体"/>
                <w:sz w:val="21"/>
                <w:szCs w:val="21"/>
                <w:highlight w:val="none"/>
                <w:lang w:val="en-US" w:eastAsia="zh-CN"/>
              </w:rPr>
              <w:t>办公</w:t>
            </w:r>
            <w:r>
              <w:rPr>
                <w:rFonts w:hint="eastAsia" w:ascii="宋体" w:hAnsi="宋体" w:cs="宋体"/>
                <w:sz w:val="21"/>
                <w:szCs w:val="21"/>
                <w:highlight w:val="none"/>
              </w:rPr>
              <w:t>面积</w:t>
            </w:r>
            <w:r>
              <w:rPr>
                <w:rFonts w:hint="eastAsia" w:ascii="宋体" w:hAnsi="宋体" w:cs="宋体"/>
                <w:sz w:val="21"/>
                <w:szCs w:val="21"/>
                <w:highlight w:val="none"/>
                <w:lang w:val="en-US" w:eastAsia="zh-CN"/>
              </w:rPr>
              <w:t>15</w:t>
            </w:r>
            <w:r>
              <w:rPr>
                <w:rFonts w:hint="eastAsia" w:ascii="宋体" w:hAnsi="宋体" w:cs="宋体"/>
                <w:sz w:val="21"/>
                <w:szCs w:val="21"/>
                <w:highlight w:val="none"/>
              </w:rPr>
              <w:t>0平方左右</w:t>
            </w:r>
            <w:r>
              <w:rPr>
                <w:rFonts w:hint="eastAsia" w:ascii="宋体" w:hAnsi="宋体" w:cs="宋体"/>
                <w:sz w:val="21"/>
                <w:szCs w:val="21"/>
                <w:highlight w:val="none"/>
                <w:lang w:eastAsia="zh-CN"/>
              </w:rPr>
              <w:t>，产品研发、调试</w:t>
            </w:r>
            <w:r>
              <w:rPr>
                <w:rFonts w:hint="eastAsia" w:ascii="宋体" w:hAnsi="宋体" w:cs="宋体"/>
                <w:sz w:val="21"/>
                <w:szCs w:val="21"/>
                <w:highlight w:val="none"/>
              </w:rPr>
              <w:t>面积</w:t>
            </w:r>
            <w:r>
              <w:rPr>
                <w:rFonts w:hint="eastAsia" w:ascii="宋体" w:hAnsi="宋体" w:cs="宋体"/>
                <w:sz w:val="21"/>
                <w:szCs w:val="21"/>
                <w:highlight w:val="none"/>
                <w:lang w:val="en-US" w:eastAsia="zh-CN"/>
              </w:rPr>
              <w:t>850</w:t>
            </w:r>
            <w:r>
              <w:rPr>
                <w:rFonts w:hint="eastAsia" w:ascii="宋体" w:hAnsi="宋体" w:cs="宋体"/>
                <w:sz w:val="21"/>
                <w:szCs w:val="21"/>
                <w:highlight w:val="none"/>
              </w:rPr>
              <w:t>平方左右。主要生产设备包括</w:t>
            </w:r>
            <w:r>
              <w:rPr>
                <w:rFonts w:hint="eastAsia" w:ascii="宋体" w:hAnsi="宋体" w:cs="宋体"/>
                <w:color w:val="000000"/>
                <w:sz w:val="21"/>
                <w:szCs w:val="21"/>
                <w:highlight w:val="none"/>
              </w:rPr>
              <w:t>：</w:t>
            </w:r>
            <w:r>
              <w:rPr>
                <w:rFonts w:hint="eastAsia" w:ascii="宋体" w:hAnsi="宋体" w:cs="宋体"/>
                <w:sz w:val="21"/>
                <w:szCs w:val="21"/>
                <w:highlight w:val="none"/>
              </w:rPr>
              <w:t>办公设备、测试设备（信号源、频谱仪、矢量网络分析仪等）等</w:t>
            </w:r>
            <w:r>
              <w:rPr>
                <w:rFonts w:hint="eastAsia" w:ascii="宋体" w:hAnsi="宋体" w:cs="宋体"/>
                <w:color w:val="000000"/>
                <w:sz w:val="21"/>
                <w:szCs w:val="21"/>
                <w:highlight w:val="none"/>
              </w:rPr>
              <w:t>，</w:t>
            </w:r>
            <w:r>
              <w:rPr>
                <w:rFonts w:hint="eastAsia" w:ascii="宋体" w:hAnsi="宋体" w:cs="宋体"/>
                <w:sz w:val="21"/>
                <w:szCs w:val="21"/>
                <w:highlight w:val="none"/>
              </w:rPr>
              <w:t>可以满足无线电测试设备、无线电仿真设备及无线信号处理设备的设计、销售需要。</w:t>
            </w:r>
            <w:r>
              <w:rPr>
                <w:rFonts w:hint="eastAsia" w:ascii="宋体" w:hAnsi="宋体" w:cs="宋体"/>
                <w:sz w:val="21"/>
                <w:szCs w:val="21"/>
                <w:highlight w:val="none"/>
                <w:lang w:val="en-US" w:eastAsia="zh-CN"/>
              </w:rPr>
              <w:t>研发部</w:t>
            </w:r>
            <w:r>
              <w:rPr>
                <w:rFonts w:hint="eastAsia" w:ascii="宋体" w:hAnsi="宋体" w:cs="宋体"/>
                <w:sz w:val="21"/>
                <w:szCs w:val="21"/>
                <w:highlight w:val="none"/>
              </w:rPr>
              <w:t>对设备按月方式进行点检维护保养，并实施</w:t>
            </w:r>
            <w:r>
              <w:rPr>
                <w:rFonts w:hint="eastAsia" w:ascii="宋体" w:hAnsi="宋体" w:cs="宋体"/>
                <w:color w:val="000000"/>
                <w:sz w:val="21"/>
                <w:szCs w:val="21"/>
                <w:highlight w:val="none"/>
              </w:rPr>
              <w:t>。特种设备：</w:t>
            </w:r>
            <w:r>
              <w:rPr>
                <w:rFonts w:hint="eastAsia" w:ascii="宋体" w:hAnsi="宋体"/>
                <w:sz w:val="21"/>
                <w:szCs w:val="21"/>
                <w:highlight w:val="none"/>
              </w:rPr>
              <w:t>无</w:t>
            </w:r>
            <w:r>
              <w:rPr>
                <w:rFonts w:hint="eastAsia" w:ascii="宋体" w:hAnsi="宋体" w:cs="宋体"/>
                <w:color w:val="000000"/>
                <w:sz w:val="21"/>
                <w:szCs w:val="21"/>
                <w:highlight w:val="none"/>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spacing w:line="240" w:lineRule="exact"/>
              <w:rPr>
                <w:rFonts w:ascii="宋体" w:hAnsi="宋体"/>
                <w:b/>
                <w:sz w:val="21"/>
                <w:szCs w:val="21"/>
              </w:rPr>
            </w:pPr>
            <w:r>
              <w:rPr>
                <w:rFonts w:hint="eastAsia" w:ascii="宋体" w:hAnsi="宋体"/>
                <w:sz w:val="21"/>
                <w:szCs w:val="21"/>
                <w:lang w:val="en-US" w:eastAsia="zh-CN"/>
              </w:rPr>
              <w:t>办公场所</w:t>
            </w:r>
            <w:r>
              <w:rPr>
                <w:rFonts w:hint="eastAsia" w:ascii="宋体" w:hAnsi="宋体"/>
                <w:sz w:val="21"/>
                <w:szCs w:val="21"/>
              </w:rPr>
              <w:t>设备布置合理，照明设施齐全，均配备了</w:t>
            </w:r>
            <w:r>
              <w:rPr>
                <w:rFonts w:hint="eastAsia" w:ascii="宋体" w:hAnsi="宋体"/>
                <w:sz w:val="21"/>
                <w:szCs w:val="21"/>
                <w:lang w:val="en-US" w:eastAsia="zh-CN"/>
              </w:rPr>
              <w:t>灭火器</w:t>
            </w:r>
            <w:r>
              <w:rPr>
                <w:rFonts w:hint="eastAsia" w:ascii="宋体" w:hAnsi="宋体"/>
                <w:sz w:val="21"/>
                <w:szCs w:val="21"/>
              </w:rPr>
              <w:t>、消防</w:t>
            </w:r>
            <w:r>
              <w:rPr>
                <w:rFonts w:hint="eastAsia" w:ascii="宋体" w:hAnsi="宋体"/>
                <w:sz w:val="21"/>
                <w:szCs w:val="21"/>
                <w:lang w:val="en-US" w:eastAsia="zh-CN"/>
              </w:rPr>
              <w:t>栓</w:t>
            </w:r>
            <w:r>
              <w:rPr>
                <w:rFonts w:hint="eastAsia" w:ascii="宋体" w:hAnsi="宋体"/>
                <w:sz w:val="21"/>
                <w:szCs w:val="21"/>
              </w:rPr>
              <w:t>等设施。目前工作环境符合</w:t>
            </w:r>
            <w:r>
              <w:rPr>
                <w:rFonts w:hint="eastAsia" w:ascii="宋体" w:hAnsi="宋体" w:cs="宋体"/>
                <w:sz w:val="21"/>
                <w:szCs w:val="21"/>
                <w:highlight w:val="none"/>
              </w:rPr>
              <w:t>无线电测试设备、无线电仿真设备及无线信号处理设备的设计、销售</w:t>
            </w:r>
            <w:r>
              <w:rPr>
                <w:rFonts w:hint="eastAsia" w:ascii="宋体" w:hAnsi="宋体" w:cs="宋体"/>
                <w:sz w:val="21"/>
                <w:szCs w:val="21"/>
                <w:highlight w:val="none"/>
                <w:lang w:eastAsia="zh-CN"/>
              </w:rPr>
              <w:t>的</w:t>
            </w:r>
            <w:r>
              <w:rPr>
                <w:rFonts w:hint="eastAsia" w:ascii="宋体" w:hAnsi="宋体"/>
                <w:sz w:val="21"/>
                <w:szCs w:val="21"/>
              </w:rPr>
              <w:t>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监视和测量资源</w:t>
            </w:r>
          </w:p>
          <w:p>
            <w:pPr>
              <w:spacing w:line="240" w:lineRule="exact"/>
              <w:rPr>
                <w:rFonts w:hint="eastAsia" w:ascii="宋体" w:hAnsi="宋体"/>
                <w:b/>
                <w:sz w:val="21"/>
                <w:szCs w:val="21"/>
              </w:rPr>
            </w:pPr>
            <w:r>
              <w:rPr>
                <w:rFonts w:hint="eastAsia" w:ascii="宋体" w:hAnsi="宋体" w:cs="宋体"/>
                <w:sz w:val="21"/>
                <w:szCs w:val="21"/>
                <w:lang w:eastAsia="zh-CN"/>
              </w:rPr>
              <w:t>配备有</w:t>
            </w:r>
            <w:r>
              <w:rPr>
                <w:rFonts w:hint="eastAsia" w:ascii="宋体" w:hAnsi="宋体" w:cs="宋体"/>
                <w:sz w:val="21"/>
                <w:szCs w:val="21"/>
              </w:rPr>
              <w:t>信号源、频谱仪、矢量网络分析仪等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spacing w:line="400" w:lineRule="exact"/>
              <w:ind w:firstLine="315" w:firstLineChars="150"/>
              <w:rPr>
                <w:rFonts w:ascii="宋体" w:hAnsi="宋体" w:cs="宋体"/>
                <w:color w:val="000000"/>
                <w:sz w:val="21"/>
                <w:szCs w:val="21"/>
              </w:rPr>
            </w:pPr>
            <w:r>
              <w:rPr>
                <w:rFonts w:hint="eastAsia" w:ascii="宋体" w:hAnsi="宋体" w:cs="宋体"/>
                <w:color w:val="000000"/>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sz w:val="21"/>
                <w:szCs w:val="21"/>
              </w:rPr>
            </w:pPr>
            <w:r>
              <w:rPr>
                <w:rFonts w:hint="eastAsia" w:ascii="宋体" w:hAnsi="宋体" w:cs="宋体"/>
                <w:color w:val="000000"/>
                <w:sz w:val="21"/>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环保设施：</w:t>
            </w: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eastAsia="宋体"/>
                <w:b/>
                <w:sz w:val="21"/>
                <w:szCs w:val="21"/>
                <w:lang w:val="en-US" w:eastAsia="zh-CN"/>
              </w:rPr>
            </w:pPr>
            <w:r>
              <w:rPr>
                <w:rFonts w:hint="eastAsia" w:ascii="宋体" w:hAnsi="宋体"/>
                <w:b/>
                <w:sz w:val="21"/>
                <w:szCs w:val="21"/>
              </w:rPr>
              <w:t>职业健康安全设施：</w:t>
            </w: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8"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00" w:lineRule="exact"/>
              <w:ind w:left="1" w:firstLine="420" w:firstLineChars="200"/>
              <w:rPr>
                <w:rFonts w:hint="eastAsia" w:ascii="宋体" w:hAnsi="宋体"/>
                <w:b/>
                <w:sz w:val="21"/>
                <w:szCs w:val="21"/>
              </w:rPr>
            </w:pPr>
            <w:r>
              <w:rPr>
                <w:rFonts w:hint="eastAsia" w:ascii="宋体" w:hAnsi="宋体" w:cs="宋体"/>
                <w:color w:val="000000"/>
                <w:sz w:val="21"/>
                <w:szCs w:val="21"/>
              </w:rPr>
              <w:t>最高管理者组织制定了方针：现行的</w:t>
            </w:r>
            <w:r>
              <w:rPr>
                <w:rFonts w:hint="eastAsia" w:ascii="宋体" w:hAnsi="宋体" w:cs="宋体"/>
                <w:color w:val="000000"/>
                <w:sz w:val="21"/>
                <w:szCs w:val="21"/>
                <w:lang w:eastAsia="zh-CN"/>
              </w:rPr>
              <w:t>环境</w:t>
            </w:r>
            <w:r>
              <w:rPr>
                <w:rFonts w:hint="eastAsia" w:ascii="宋体" w:hAnsi="宋体" w:cs="宋体"/>
                <w:color w:val="000000"/>
                <w:sz w:val="21"/>
                <w:szCs w:val="21"/>
              </w:rPr>
              <w:t>方针在</w:t>
            </w:r>
            <w:r>
              <w:rPr>
                <w:rFonts w:hint="eastAsia" w:ascii="宋体" w:hAnsi="宋体" w:cs="宋体"/>
                <w:color w:val="000000"/>
                <w:sz w:val="21"/>
                <w:szCs w:val="21"/>
                <w:lang w:eastAsia="zh-CN"/>
              </w:rPr>
              <w:t>环境</w:t>
            </w:r>
            <w:r>
              <w:rPr>
                <w:rFonts w:hint="eastAsia" w:ascii="宋体" w:hAnsi="宋体" w:cs="宋体"/>
                <w:color w:val="000000"/>
                <w:sz w:val="21"/>
                <w:szCs w:val="21"/>
              </w:rPr>
              <w:t>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ascii="楷体_GB2312" w:eastAsia="楷体_GB2312"/>
                <w:b/>
                <w:szCs w:val="21"/>
              </w:rPr>
            </w:pPr>
            <w:r>
              <w:rPr>
                <w:rFonts w:hint="eastAsia" w:ascii="楷体_GB2312" w:eastAsia="楷体_GB2312"/>
                <w:b/>
                <w:szCs w:val="21"/>
              </w:rPr>
              <w:t>内部沟通的情况：内部沟通方式：</w:t>
            </w:r>
            <w:r>
              <w:rPr>
                <w:rFonts w:hint="eastAsia" w:ascii="宋体" w:hAnsi="宋体" w:cs="宋体"/>
                <w:color w:val="000000"/>
                <w:sz w:val="21"/>
                <w:szCs w:val="21"/>
              </w:rPr>
              <w:t>在公司内部主要采用电话、会议、面谈等形式就与产品质量、服务有关问题及与质量管理体系有关问题进行沟通，未发生由于沟通不到位而影响工作的情况。</w:t>
            </w:r>
            <w:r>
              <w:rPr>
                <w:rFonts w:ascii="楷体_GB2312" w:eastAsia="楷体_GB2312"/>
                <w:b/>
                <w:szCs w:val="21"/>
              </w:rPr>
              <w:t xml:space="preserve">                </w:t>
            </w:r>
          </w:p>
          <w:p>
            <w:pPr>
              <w:spacing w:line="240" w:lineRule="exact"/>
              <w:rPr>
                <w:rFonts w:ascii="楷体_GB2312" w:eastAsia="楷体_GB2312"/>
                <w:b/>
                <w:szCs w:val="21"/>
              </w:rPr>
            </w:pPr>
            <w:r>
              <w:rPr>
                <w:rFonts w:hint="eastAsia" w:ascii="楷体_GB2312" w:eastAsia="楷体_GB2312"/>
                <w:b/>
                <w:szCs w:val="21"/>
              </w:rPr>
              <w:t>内部沟通的效果：</w:t>
            </w:r>
            <w:r>
              <w:rPr>
                <w:rFonts w:hint="eastAsia" w:ascii="宋体" w:hAnsi="宋体" w:cs="宋体"/>
                <w:color w:val="000000"/>
                <w:sz w:val="21"/>
                <w:szCs w:val="21"/>
              </w:rPr>
              <w:t>良好</w:t>
            </w:r>
          </w:p>
          <w:p>
            <w:pPr>
              <w:spacing w:line="240" w:lineRule="exact"/>
              <w:rPr>
                <w:rFonts w:ascii="楷体_GB2312" w:eastAsia="楷体_GB2312"/>
                <w:b/>
                <w:szCs w:val="21"/>
              </w:rPr>
            </w:pPr>
          </w:p>
          <w:p>
            <w:pPr>
              <w:spacing w:line="240" w:lineRule="exact"/>
              <w:rPr>
                <w:rFonts w:hint="eastAsia" w:ascii="楷体_GB2312" w:eastAsia="楷体_GB2312"/>
                <w:b/>
                <w:szCs w:val="21"/>
                <w:lang w:val="en-US" w:eastAsia="zh-CN"/>
              </w:rPr>
            </w:pPr>
            <w:r>
              <w:rPr>
                <w:rFonts w:hint="eastAsia" w:ascii="楷体_GB2312" w:eastAsia="楷体_GB2312"/>
                <w:b/>
                <w:szCs w:val="21"/>
              </w:rPr>
              <w:t>组织对外联络，关注顾客的感受情况（</w:t>
            </w:r>
            <w:r>
              <w:rPr>
                <w:rFonts w:ascii="楷体_GB2312" w:eastAsia="楷体_GB2312"/>
                <w:b/>
                <w:szCs w:val="21"/>
              </w:rPr>
              <w:t>QMS</w:t>
            </w:r>
            <w:r>
              <w:rPr>
                <w:rFonts w:hint="eastAsia" w:ascii="楷体_GB2312" w:eastAsia="楷体_GB2312"/>
                <w:b/>
                <w:szCs w:val="21"/>
              </w:rPr>
              <w:t>）：</w:t>
            </w:r>
            <w:r>
              <w:rPr>
                <w:rFonts w:hint="eastAsia" w:ascii="楷体_GB2312" w:eastAsia="楷体_GB2312"/>
                <w:b/>
                <w:szCs w:val="21"/>
                <w:lang w:val="en-US" w:eastAsia="zh-CN"/>
              </w:rPr>
              <w:t>/</w:t>
            </w:r>
          </w:p>
          <w:p>
            <w:pPr>
              <w:spacing w:line="240" w:lineRule="exact"/>
              <w:rPr>
                <w:rFonts w:ascii="楷体_GB2312" w:eastAsia="楷体_GB2312"/>
                <w:b/>
                <w:szCs w:val="21"/>
              </w:rPr>
            </w:pPr>
          </w:p>
          <w:p>
            <w:pPr>
              <w:spacing w:line="240" w:lineRule="exact"/>
              <w:rPr>
                <w:rFonts w:hint="eastAsia" w:ascii="楷体_GB2312" w:eastAsia="宋体"/>
                <w:b/>
                <w:color w:val="000000" w:themeColor="text1"/>
                <w:sz w:val="20"/>
                <w:szCs w:val="20"/>
                <w:lang w:eastAsia="zh-CN"/>
              </w:rPr>
            </w:pPr>
            <w:r>
              <w:rPr>
                <w:rFonts w:hint="eastAsia" w:ascii="楷体_GB2312" w:eastAsia="楷体_GB2312"/>
                <w:b/>
                <w:szCs w:val="21"/>
              </w:rPr>
              <w:t>外部信息的接收、成文并答复的情况（</w:t>
            </w:r>
            <w:r>
              <w:rPr>
                <w:rFonts w:ascii="楷体_GB2312" w:eastAsia="楷体_GB2312"/>
                <w:b/>
                <w:szCs w:val="21"/>
              </w:rPr>
              <w:t>E</w:t>
            </w:r>
            <w:r>
              <w:rPr>
                <w:rFonts w:hint="eastAsia" w:ascii="楷体_GB2312" w:eastAsia="楷体_GB2312"/>
                <w:b/>
                <w:szCs w:val="21"/>
              </w:rPr>
              <w:t>、</w:t>
            </w:r>
            <w:r>
              <w:rPr>
                <w:rFonts w:ascii="楷体_GB2312" w:eastAsia="楷体_GB2312"/>
                <w:b/>
                <w:szCs w:val="21"/>
              </w:rPr>
              <w:t>S</w:t>
            </w:r>
            <w:r>
              <w:rPr>
                <w:rFonts w:hint="eastAsia" w:ascii="楷体_GB2312" w:eastAsia="楷体_GB2312"/>
                <w:b/>
                <w:szCs w:val="21"/>
              </w:rPr>
              <w:t>填写）：</w:t>
            </w:r>
            <w:r>
              <w:rPr>
                <w:rFonts w:hint="eastAsia" w:ascii="宋体" w:hAnsi="宋体" w:cs="宋体"/>
                <w:color w:val="000000"/>
                <w:sz w:val="21"/>
                <w:szCs w:val="21"/>
              </w:rPr>
              <w:t>对会议通知和规定等登记处理</w:t>
            </w:r>
            <w:r>
              <w:rPr>
                <w:rFonts w:hint="eastAsia" w:ascii="宋体" w:hAnsi="宋体" w:cs="宋体"/>
                <w:color w:val="000000"/>
                <w:sz w:val="21"/>
                <w:szCs w:val="21"/>
                <w:lang w:eastAsia="zh-CN"/>
              </w:rPr>
              <w:t>。</w:t>
            </w:r>
          </w:p>
          <w:p>
            <w:pPr>
              <w:spacing w:line="240" w:lineRule="exact"/>
              <w:rPr>
                <w:rFonts w:ascii="楷体_GB2312" w:eastAsia="楷体_GB2312"/>
                <w:b/>
                <w:szCs w:val="21"/>
              </w:rPr>
            </w:pPr>
          </w:p>
          <w:p>
            <w:pPr>
              <w:spacing w:line="240" w:lineRule="exact"/>
              <w:rPr>
                <w:rFonts w:ascii="楷体_GB2312" w:eastAsia="楷体_GB2312"/>
                <w:b/>
                <w:szCs w:val="21"/>
              </w:rPr>
            </w:pPr>
          </w:p>
          <w:p>
            <w:pPr>
              <w:spacing w:line="240" w:lineRule="exact"/>
              <w:rPr>
                <w:rFonts w:hint="eastAsia" w:ascii="宋体" w:hAnsi="宋体" w:cs="宋体"/>
                <w:color w:val="000000"/>
                <w:sz w:val="21"/>
                <w:szCs w:val="21"/>
                <w:lang w:eastAsia="zh-CN"/>
              </w:rPr>
            </w:pPr>
            <w:r>
              <w:rPr>
                <w:rFonts w:hint="eastAsia" w:ascii="楷体_GB2312" w:eastAsia="楷体_GB2312"/>
                <w:b/>
                <w:szCs w:val="21"/>
              </w:rPr>
              <w:t>重要环境因素信息对外交流情况（</w:t>
            </w:r>
            <w:r>
              <w:rPr>
                <w:rFonts w:ascii="楷体_GB2312" w:eastAsia="楷体_GB2312"/>
                <w:b/>
                <w:szCs w:val="21"/>
              </w:rPr>
              <w:t>EMS</w:t>
            </w:r>
            <w:r>
              <w:rPr>
                <w:rFonts w:hint="eastAsia" w:ascii="楷体_GB2312" w:eastAsia="楷体_GB2312"/>
                <w:b/>
                <w:szCs w:val="21"/>
              </w:rPr>
              <w:t>填写）：</w:t>
            </w:r>
            <w:r>
              <w:rPr>
                <w:rFonts w:hint="eastAsia" w:ascii="宋体" w:hAnsi="宋体" w:cs="宋体"/>
                <w:color w:val="000000"/>
                <w:sz w:val="21"/>
                <w:szCs w:val="21"/>
              </w:rPr>
              <w:t>主要通过网络、交流及公开信、合同等方式进行，并达成一致性意见实施有效控制</w:t>
            </w:r>
            <w:r>
              <w:rPr>
                <w:rFonts w:hint="eastAsia" w:ascii="宋体" w:hAnsi="宋体" w:cs="宋体"/>
                <w:color w:val="000000"/>
                <w:sz w:val="21"/>
                <w:szCs w:val="21"/>
                <w:lang w:eastAsia="zh-CN"/>
              </w:rPr>
              <w:t>。</w:t>
            </w:r>
          </w:p>
          <w:p>
            <w:pPr>
              <w:spacing w:line="240" w:lineRule="exact"/>
              <w:rPr>
                <w:rFonts w:ascii="楷体_GB2312" w:eastAsia="楷体_GB2312"/>
                <w:b/>
                <w:szCs w:val="21"/>
              </w:rPr>
            </w:pPr>
          </w:p>
          <w:p>
            <w:pPr>
              <w:spacing w:line="240" w:lineRule="exact"/>
              <w:rPr>
                <w:rFonts w:hint="eastAsia" w:ascii="楷体_GB2312" w:eastAsia="楷体_GB2312"/>
                <w:b/>
                <w:szCs w:val="21"/>
                <w:lang w:val="en-US" w:eastAsia="zh-CN"/>
              </w:rPr>
            </w:pPr>
            <w:r>
              <w:rPr>
                <w:rFonts w:ascii="楷体_GB2312" w:eastAsia="楷体_GB2312"/>
                <w:b/>
                <w:szCs w:val="21"/>
              </w:rPr>
              <w:t>OHSMS</w:t>
            </w:r>
            <w:r>
              <w:rPr>
                <w:rFonts w:hint="eastAsia" w:ascii="楷体_GB2312" w:eastAsia="楷体_GB2312"/>
                <w:b/>
                <w:szCs w:val="21"/>
              </w:rPr>
              <w:t>事务代表协商和交流的情况（</w:t>
            </w:r>
            <w:r>
              <w:rPr>
                <w:rFonts w:ascii="楷体_GB2312" w:eastAsia="楷体_GB2312"/>
                <w:b/>
                <w:szCs w:val="21"/>
              </w:rPr>
              <w:t>OHSMS</w:t>
            </w:r>
            <w:r>
              <w:rPr>
                <w:rFonts w:hint="eastAsia" w:ascii="楷体_GB2312" w:eastAsia="楷体_GB2312"/>
                <w:b/>
                <w:szCs w:val="21"/>
              </w:rPr>
              <w:t>填写）：</w:t>
            </w:r>
            <w:r>
              <w:rPr>
                <w:rFonts w:hint="eastAsia" w:ascii="楷体_GB2312" w:eastAsia="楷体_GB2312"/>
                <w:b/>
                <w:szCs w:val="21"/>
                <w:lang w:val="en-US" w:eastAsia="zh-CN"/>
              </w:rPr>
              <w:t>/</w:t>
            </w:r>
          </w:p>
          <w:p>
            <w:pPr>
              <w:spacing w:line="240" w:lineRule="exact"/>
              <w:rPr>
                <w:rFonts w:hint="eastAsia" w:ascii="宋体" w:hAnsi="宋体" w:eastAsia="楷体_GB2312"/>
                <w:b/>
                <w:sz w:val="21"/>
                <w:szCs w:val="21"/>
                <w:lang w:val="en-US" w:eastAsia="zh-CN"/>
              </w:rPr>
            </w:pPr>
            <w:r>
              <w:rPr>
                <w:rFonts w:hint="eastAsia" w:ascii="楷体_GB2312" w:eastAsia="楷体_GB2312"/>
                <w:b/>
                <w:szCs w:val="21"/>
              </w:rPr>
              <w:t>与相关方协商的情况（</w:t>
            </w:r>
            <w:r>
              <w:rPr>
                <w:rFonts w:ascii="楷体_GB2312" w:eastAsia="楷体_GB2312"/>
                <w:b/>
                <w:szCs w:val="21"/>
              </w:rPr>
              <w:t>OHSMS</w:t>
            </w:r>
            <w:r>
              <w:rPr>
                <w:rFonts w:hint="eastAsia" w:ascii="楷体_GB2312" w:eastAsia="楷体_GB2312"/>
                <w:b/>
                <w:szCs w:val="21"/>
              </w:rPr>
              <w:t>填写）：</w:t>
            </w:r>
            <w:r>
              <w:rPr>
                <w:rFonts w:hint="eastAsia" w:ascii="楷体_GB2312" w:eastAsia="楷体_GB2312"/>
                <w:b/>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1"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rPr>
                <w:rFonts w:ascii="宋体" w:hAnsi="宋体"/>
                <w:b/>
                <w:sz w:val="21"/>
                <w:szCs w:val="21"/>
              </w:rPr>
            </w:pP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8"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rPr>
                <w:rFonts w:ascii="宋体" w:hAnsi="宋体"/>
                <w:b/>
                <w:sz w:val="21"/>
                <w:szCs w:val="21"/>
              </w:rPr>
            </w:pP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p>
            <w:pPr>
              <w:spacing w:line="240" w:lineRule="exact"/>
              <w:rPr>
                <w:rFonts w:ascii="宋体" w:hAnsi="宋体"/>
                <w:b/>
                <w:sz w:val="21"/>
                <w:szCs w:val="21"/>
              </w:rPr>
            </w:pPr>
          </w:p>
          <w:p>
            <w:pPr>
              <w:spacing w:line="300" w:lineRule="exact"/>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exact"/>
              <w:ind w:firstLine="420" w:firstLineChars="200"/>
              <w:rPr>
                <w:rFonts w:ascii="宋体" w:hAnsi="宋体"/>
                <w:b/>
                <w:sz w:val="21"/>
                <w:szCs w:val="21"/>
              </w:rPr>
            </w:pPr>
            <w:r>
              <w:rPr>
                <w:rFonts w:hint="eastAsia" w:ascii="宋体" w:hAnsi="宋体" w:cs="宋体"/>
                <w:color w:val="000000"/>
                <w:sz w:val="21"/>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2"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ind w:firstLine="420" w:firstLineChars="200"/>
              <w:rPr>
                <w:rFonts w:ascii="宋体" w:hAnsi="宋体"/>
                <w:b/>
                <w:sz w:val="21"/>
                <w:szCs w:val="21"/>
              </w:rPr>
            </w:pPr>
            <w:r>
              <w:rPr>
                <w:rFonts w:hint="eastAsia" w:asciiTheme="minorEastAsia" w:hAnsiTheme="minorEastAsia" w:eastAsiaTheme="minorEastAsia"/>
                <w:bCs/>
                <w:iCs/>
                <w:sz w:val="21"/>
                <w:szCs w:val="21"/>
              </w:rPr>
              <w:t>组织重要环境因素</w:t>
            </w:r>
            <w:r>
              <w:rPr>
                <w:rFonts w:hint="eastAsia" w:asciiTheme="minorEastAsia" w:hAnsiTheme="minorEastAsia" w:eastAsiaTheme="minorEastAsia"/>
                <w:bCs/>
                <w:iCs/>
                <w:sz w:val="21"/>
                <w:szCs w:val="21"/>
                <w:highlight w:val="none"/>
              </w:rPr>
              <w:t>为</w:t>
            </w:r>
            <w:r>
              <w:rPr>
                <w:rFonts w:hint="eastAsia" w:ascii="宋体" w:hAnsi="宋体"/>
                <w:sz w:val="21"/>
                <w:szCs w:val="21"/>
                <w:highlight w:val="none"/>
              </w:rPr>
              <w:t>潜在火灾、固废排放</w:t>
            </w:r>
            <w:r>
              <w:rPr>
                <w:rFonts w:hint="eastAsia" w:asciiTheme="minorEastAsia" w:hAnsiTheme="minorEastAsia" w:eastAsiaTheme="minorEastAsia"/>
                <w:bCs/>
                <w:iCs/>
                <w:sz w:val="21"/>
                <w:szCs w:val="21"/>
                <w:highlight w:val="none"/>
              </w:rPr>
              <w:t>，需要</w:t>
            </w:r>
            <w:r>
              <w:rPr>
                <w:rFonts w:hint="eastAsia" w:asciiTheme="minorEastAsia" w:hAnsiTheme="minorEastAsia" w:eastAsiaTheme="minorEastAsia"/>
                <w:bCs/>
                <w:iCs/>
                <w:sz w:val="21"/>
                <w:szCs w:val="21"/>
              </w:rPr>
              <w:t>应对的风险和机遇相关的过程为销售、办公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6"/>
              </w:numPr>
              <w:spacing w:line="240" w:lineRule="exact"/>
              <w:rPr>
                <w:rFonts w:hint="eastAsia" w:ascii="宋体" w:hAnsi="宋体"/>
                <w:b/>
                <w:sz w:val="21"/>
                <w:szCs w:val="21"/>
              </w:rPr>
            </w:pPr>
            <w:r>
              <w:rPr>
                <w:rFonts w:ascii="宋体" w:hAnsi="宋体"/>
                <w:b/>
                <w:sz w:val="21"/>
                <w:szCs w:val="21"/>
              </w:rPr>
              <w:t>OHSMS</w:t>
            </w:r>
            <w:r>
              <w:rPr>
                <w:rFonts w:hint="eastAsia" w:ascii="宋体" w:hAnsi="宋体"/>
                <w:b/>
                <w:sz w:val="21"/>
                <w:szCs w:val="21"/>
              </w:rPr>
              <w:t>组织对不可接受风险实施控制的结果</w:t>
            </w:r>
          </w:p>
          <w:p>
            <w:pPr>
              <w:numPr>
                <w:ilvl w:val="0"/>
                <w:numId w:val="0"/>
              </w:num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2"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ind w:firstLine="420" w:firstLineChars="200"/>
              <w:rPr>
                <w:rFonts w:ascii="宋体" w:hAnsi="宋体"/>
                <w:b/>
                <w:sz w:val="21"/>
                <w:szCs w:val="21"/>
              </w:rPr>
            </w:pPr>
            <w:r>
              <w:rPr>
                <w:rFonts w:hint="eastAsia" w:asciiTheme="minorEastAsia" w:hAnsiTheme="minorEastAsia" w:eastAsiaTheme="minorEastAsia"/>
                <w:bCs/>
                <w:iCs/>
                <w:sz w:val="21"/>
                <w:szCs w:val="21"/>
              </w:rPr>
              <w:t>组织识别了紧急情况，应急准备和响应为潜在火灾，识别合理、有效。应急物资配备有灭火器和消防栓，编制有应急预案，并组织了演练，并对应急预案进行了评价。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hint="default"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315" w:firstLineChars="150"/>
              <w:rPr>
                <w:rFonts w:ascii="宋体" w:hAnsi="宋体"/>
                <w:b/>
                <w:sz w:val="21"/>
                <w:szCs w:val="21"/>
              </w:rPr>
            </w:pPr>
            <w:r>
              <w:rPr>
                <w:rFonts w:hint="eastAsia" w:ascii="宋体" w:hAnsi="宋体" w:cs="宋体"/>
                <w:color w:val="000000"/>
                <w:sz w:val="21"/>
                <w:szCs w:val="21"/>
                <w:highlight w:val="none"/>
              </w:rPr>
              <w:t>公司制定、发布了总体</w:t>
            </w:r>
            <w:r>
              <w:rPr>
                <w:rFonts w:hint="eastAsia" w:ascii="宋体" w:hAnsi="宋体" w:cs="宋体"/>
                <w:color w:val="000000"/>
                <w:sz w:val="21"/>
                <w:szCs w:val="21"/>
                <w:highlight w:val="none"/>
                <w:lang w:eastAsia="zh-CN"/>
              </w:rPr>
              <w:t>环境</w:t>
            </w:r>
            <w:r>
              <w:rPr>
                <w:rFonts w:hint="eastAsia" w:ascii="宋体" w:hAnsi="宋体" w:cs="宋体"/>
                <w:color w:val="000000"/>
                <w:sz w:val="21"/>
                <w:szCs w:val="21"/>
                <w:highlight w:val="none"/>
              </w:rPr>
              <w:t>目标并分解到相关职能部门和层次，规定了目标值、计算方法、责任部门、检查人、考核频次等。同时，</w:t>
            </w:r>
            <w:r>
              <w:rPr>
                <w:rFonts w:hint="eastAsia" w:ascii="宋体" w:hAnsi="宋体" w:cs="宋体"/>
                <w:color w:val="000000"/>
                <w:sz w:val="21"/>
                <w:szCs w:val="21"/>
                <w:highlight w:val="none"/>
                <w:lang w:eastAsia="zh-CN"/>
              </w:rPr>
              <w:t>环境</w:t>
            </w:r>
            <w:r>
              <w:rPr>
                <w:rFonts w:hint="eastAsia" w:ascii="宋体" w:hAnsi="宋体" w:cs="宋体"/>
                <w:color w:val="000000"/>
                <w:sz w:val="21"/>
                <w:szCs w:val="21"/>
                <w:highlight w:val="none"/>
              </w:rPr>
              <w:t>目标得到沟通和监视评价，通过数据的汇总统计、描述性统计等方法对目标进行了测量，总体已达到或超过了规定的目标值。通过20</w:t>
            </w:r>
            <w:r>
              <w:rPr>
                <w:rFonts w:hint="eastAsia" w:ascii="宋体" w:hAnsi="宋体" w:cs="宋体"/>
                <w:color w:val="000000"/>
                <w:sz w:val="21"/>
                <w:szCs w:val="21"/>
                <w:highlight w:val="none"/>
                <w:lang w:val="en-US" w:eastAsia="zh-CN"/>
              </w:rPr>
              <w:t>20</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9月</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2021年2</w:t>
            </w:r>
            <w:r>
              <w:rPr>
                <w:rFonts w:hint="eastAsia" w:ascii="宋体" w:hAnsi="宋体" w:cs="宋体"/>
                <w:color w:val="000000"/>
                <w:sz w:val="21"/>
                <w:szCs w:val="21"/>
                <w:highlight w:val="none"/>
              </w:rPr>
              <w:t>月</w:t>
            </w:r>
            <w:r>
              <w:rPr>
                <w:rFonts w:hint="eastAsia" w:ascii="宋体" w:hAnsi="宋体" w:cs="宋体"/>
                <w:color w:val="000000"/>
                <w:sz w:val="21"/>
                <w:szCs w:val="21"/>
                <w:highlight w:val="none"/>
                <w:lang w:eastAsia="zh-CN"/>
              </w:rPr>
              <w:t>环境</w:t>
            </w:r>
            <w:r>
              <w:rPr>
                <w:rFonts w:hint="eastAsia" w:ascii="宋体" w:hAnsi="宋体" w:cs="宋体"/>
                <w:color w:val="000000"/>
                <w:sz w:val="21"/>
                <w:szCs w:val="21"/>
                <w:highlight w:val="none"/>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7"/>
              </w:numPr>
              <w:spacing w:line="240" w:lineRule="exact"/>
              <w:ind w:left="105" w:hanging="105" w:hangingChars="50"/>
              <w:rPr>
                <w:rFonts w:hint="eastAsia" w:ascii="宋体" w:hAnsi="宋体"/>
                <w:b/>
                <w:sz w:val="21"/>
                <w:szCs w:val="21"/>
              </w:rPr>
            </w:pPr>
            <w:r>
              <w:rPr>
                <w:rFonts w:hint="eastAsia" w:ascii="宋体" w:hAnsi="宋体"/>
                <w:b/>
                <w:sz w:val="21"/>
                <w:szCs w:val="21"/>
              </w:rPr>
              <w:t>顾客满意</w:t>
            </w:r>
          </w:p>
          <w:p>
            <w:pPr>
              <w:numPr>
                <w:ilvl w:val="0"/>
                <w:numId w:val="0"/>
              </w:numPr>
              <w:spacing w:line="240" w:lineRule="exact"/>
              <w:ind w:leftChars="-50"/>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tabs>
                <w:tab w:val="right" w:pos="9332"/>
              </w:tabs>
              <w:spacing w:line="440" w:lineRule="exact"/>
              <w:rPr>
                <w:rFonts w:ascii="宋体" w:hAnsi="宋体"/>
                <w:b/>
                <w:sz w:val="21"/>
                <w:szCs w:val="21"/>
              </w:rPr>
            </w:pPr>
            <w:r>
              <w:rPr>
                <w:rFonts w:hint="eastAsia" w:ascii="宋体" w:hAnsi="宋体" w:cs="宋体"/>
                <w:sz w:val="21"/>
                <w:szCs w:val="21"/>
                <w:highlight w:val="none"/>
              </w:rPr>
              <w:t>建立有《内部审核控制程序》，规定了内审频次一年一次，内审时间：20</w:t>
            </w:r>
            <w:r>
              <w:rPr>
                <w:rFonts w:hint="eastAsia" w:ascii="宋体" w:hAnsi="宋体" w:cs="宋体"/>
                <w:sz w:val="21"/>
                <w:szCs w:val="21"/>
                <w:highlight w:val="none"/>
                <w:lang w:val="en-US" w:eastAsia="zh-CN"/>
              </w:rPr>
              <w:t>20</w:t>
            </w:r>
            <w:r>
              <w:rPr>
                <w:rFonts w:hint="eastAsia" w:ascii="宋体" w:hAnsi="宋体" w:cs="宋体"/>
                <w:sz w:val="21"/>
                <w:szCs w:val="21"/>
                <w:highlight w:val="none"/>
              </w:rPr>
              <w:t>年</w:t>
            </w:r>
            <w:r>
              <w:rPr>
                <w:rFonts w:hint="eastAsia" w:ascii="宋体" w:hAnsi="宋体" w:cs="宋体"/>
                <w:sz w:val="21"/>
                <w:szCs w:val="21"/>
                <w:highlight w:val="none"/>
                <w:lang w:val="en-US" w:eastAsia="zh-CN"/>
              </w:rPr>
              <w:t>9</w:t>
            </w:r>
            <w:r>
              <w:rPr>
                <w:rFonts w:hint="eastAsia" w:ascii="宋体" w:hAnsi="宋体" w:cs="宋体"/>
                <w:sz w:val="21"/>
                <w:szCs w:val="21"/>
                <w:highlight w:val="none"/>
              </w:rPr>
              <w:t>月</w:t>
            </w:r>
            <w:r>
              <w:rPr>
                <w:rFonts w:hint="eastAsia" w:ascii="宋体" w:hAnsi="宋体" w:cs="宋体"/>
                <w:sz w:val="21"/>
                <w:szCs w:val="21"/>
                <w:highlight w:val="none"/>
                <w:lang w:val="en-US" w:eastAsia="zh-CN"/>
              </w:rPr>
              <w:t>18</w:t>
            </w:r>
            <w:r>
              <w:rPr>
                <w:rFonts w:hint="eastAsia" w:ascii="宋体" w:hAnsi="宋体" w:cs="宋体"/>
                <w:sz w:val="21"/>
                <w:szCs w:val="21"/>
                <w:highlight w:val="none"/>
              </w:rPr>
              <w:t>日，拟定了审核实施表，明确了内审范围，内审人员经培训合格上岗，能力满足要求，未出现审核本部门情况，内审不符合项1项，</w:t>
            </w:r>
            <w:r>
              <w:rPr>
                <w:rFonts w:hint="eastAsia" w:ascii="宋体" w:hAnsi="宋体" w:cs="宋体"/>
                <w:color w:val="000000"/>
                <w:sz w:val="21"/>
                <w:szCs w:val="21"/>
                <w:highlight w:val="none"/>
                <w:lang w:val="en-US" w:eastAsia="zh-CN"/>
              </w:rPr>
              <w:t>涉及行政部E9.1.1</w:t>
            </w:r>
            <w:r>
              <w:rPr>
                <w:rFonts w:hint="eastAsia" w:ascii="宋体" w:hAnsi="宋体" w:cs="宋体"/>
                <w:sz w:val="21"/>
                <w:szCs w:val="21"/>
                <w:highlight w:val="none"/>
                <w:lang w:val="en-US" w:eastAsia="zh-CN"/>
              </w:rPr>
              <w:t>条款</w:t>
            </w:r>
            <w:r>
              <w:rPr>
                <w:rFonts w:hint="eastAsia" w:ascii="宋体" w:hAnsi="宋体"/>
                <w:sz w:val="21"/>
                <w:szCs w:val="21"/>
                <w:highlight w:val="none"/>
                <w:lang w:val="en-US" w:eastAsia="zh-CN"/>
              </w:rPr>
              <w:t>未能提供2020年6月份的环境安全检查记录</w:t>
            </w:r>
            <w:r>
              <w:rPr>
                <w:rFonts w:hint="eastAsia" w:ascii="宋体" w:hAnsi="宋体" w:cs="宋体"/>
                <w:sz w:val="21"/>
                <w:szCs w:val="21"/>
                <w:highlight w:val="none"/>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ind w:firstLine="420" w:firstLineChars="200"/>
              <w:rPr>
                <w:rFonts w:ascii="宋体" w:hAnsi="宋体"/>
                <w:b/>
                <w:sz w:val="21"/>
                <w:szCs w:val="21"/>
              </w:rPr>
            </w:pPr>
            <w:r>
              <w:rPr>
                <w:rFonts w:hint="eastAsia" w:ascii="宋体" w:hAnsi="宋体" w:cs="宋体"/>
                <w:sz w:val="21"/>
                <w:szCs w:val="21"/>
              </w:rPr>
              <w:t>管理评审频次为</w:t>
            </w:r>
            <w:r>
              <w:rPr>
                <w:rFonts w:hint="eastAsia" w:ascii="宋体" w:hAnsi="宋体" w:cs="宋体"/>
                <w:sz w:val="21"/>
                <w:szCs w:val="21"/>
                <w:highlight w:val="none"/>
              </w:rPr>
              <w:t>一年一次、本次管理评审于20</w:t>
            </w:r>
            <w:r>
              <w:rPr>
                <w:rFonts w:hint="eastAsia" w:ascii="宋体" w:hAnsi="宋体" w:cs="宋体"/>
                <w:sz w:val="21"/>
                <w:szCs w:val="21"/>
                <w:highlight w:val="none"/>
                <w:lang w:val="en-US" w:eastAsia="zh-CN"/>
              </w:rPr>
              <w:t>20</w:t>
            </w:r>
            <w:r>
              <w:rPr>
                <w:rFonts w:hint="eastAsia" w:ascii="宋体" w:hAnsi="宋体" w:cs="宋体"/>
                <w:sz w:val="21"/>
                <w:szCs w:val="21"/>
                <w:highlight w:val="none"/>
              </w:rPr>
              <w:t>年</w:t>
            </w:r>
            <w:r>
              <w:rPr>
                <w:rFonts w:hint="eastAsia" w:ascii="宋体" w:hAnsi="宋体" w:cs="宋体"/>
                <w:sz w:val="21"/>
                <w:szCs w:val="21"/>
                <w:highlight w:val="none"/>
                <w:lang w:val="en-US" w:eastAsia="zh-CN"/>
              </w:rPr>
              <w:t>9</w:t>
            </w:r>
            <w:r>
              <w:rPr>
                <w:rFonts w:hint="eastAsia" w:ascii="宋体" w:hAnsi="宋体" w:cs="宋体"/>
                <w:sz w:val="21"/>
                <w:szCs w:val="21"/>
                <w:highlight w:val="none"/>
              </w:rPr>
              <w:t>月</w:t>
            </w:r>
            <w:r>
              <w:rPr>
                <w:rFonts w:hint="eastAsia" w:ascii="宋体" w:hAnsi="宋体" w:cs="宋体"/>
                <w:sz w:val="21"/>
                <w:szCs w:val="21"/>
                <w:highlight w:val="none"/>
                <w:lang w:val="en-US" w:eastAsia="zh-CN"/>
              </w:rPr>
              <w:t>30</w:t>
            </w:r>
            <w:r>
              <w:rPr>
                <w:rFonts w:hint="eastAsia" w:ascii="宋体" w:hAnsi="宋体" w:cs="宋体"/>
                <w:sz w:val="21"/>
                <w:szCs w:val="21"/>
                <w:highlight w:val="none"/>
              </w:rPr>
              <w:t>日由总经理主持完成、提供主要输入材料有各部门总结，输入信息基本充分和满足要求。输出见“管理评审报告”, 做出了管理体系基本适宜、充分和有效的评审结论，对上次管理评审提出的改进措施验证有效实施。管理评审的输出不具体，需要改善。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8" w:hRule="atLeast"/>
          <w:jc w:val="center"/>
        </w:trPr>
        <w:tc>
          <w:tcPr>
            <w:tcW w:w="720" w:type="dxa"/>
            <w:vMerge w:val="continue"/>
            <w:vAlign w:val="center"/>
          </w:tcPr>
          <w:p>
            <w:pPr>
              <w:spacing w:line="240" w:lineRule="exact"/>
              <w:jc w:val="center"/>
              <w:rPr>
                <w:b/>
                <w:sz w:val="20"/>
              </w:rPr>
            </w:pPr>
          </w:p>
        </w:tc>
        <w:tc>
          <w:tcPr>
            <w:tcW w:w="9198" w:type="dxa"/>
          </w:tcPr>
          <w:p>
            <w:pPr>
              <w:numPr>
                <w:ilvl w:val="0"/>
                <w:numId w:val="3"/>
              </w:numPr>
              <w:spacing w:line="240" w:lineRule="exact"/>
              <w:ind w:left="0" w:leftChars="0" w:firstLine="0" w:firstLineChars="0"/>
              <w:rPr>
                <w:rFonts w:hint="eastAsia" w:ascii="宋体" w:hAnsi="宋体"/>
                <w:b/>
                <w:sz w:val="21"/>
                <w:szCs w:val="21"/>
              </w:rPr>
            </w:pP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numPr>
                <w:ilvl w:val="0"/>
                <w:numId w:val="0"/>
              </w:numPr>
              <w:spacing w:line="240" w:lineRule="exact"/>
              <w:ind w:leftChars="0"/>
              <w:rPr>
                <w:rFonts w:hint="eastAsia" w:ascii="宋体" w:hAnsi="宋体"/>
                <w:b/>
                <w:sz w:val="21"/>
                <w:szCs w:val="21"/>
              </w:rPr>
            </w:pPr>
            <w:r>
              <w:rPr>
                <w:rFonts w:hint="eastAsia" w:ascii="宋体" w:hAnsi="宋体"/>
                <w:b/>
                <w:sz w:val="21"/>
                <w:szCs w:val="21"/>
                <w:lang w:val="en-US" w:eastAsia="zh-CN"/>
              </w:rPr>
              <w:t>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ascii="宋体" w:hAnsi="宋体"/>
                <w:b/>
                <w:sz w:val="21"/>
                <w:szCs w:val="21"/>
              </w:rPr>
            </w:pPr>
            <w:r>
              <w:rPr>
                <w:rFonts w:hint="eastAsia" w:ascii="宋体" w:hAnsi="宋体"/>
                <w:b/>
                <w:sz w:val="21"/>
                <w:szCs w:val="21"/>
                <w:lang w:val="en-US" w:eastAsia="zh-CN"/>
              </w:rPr>
              <w:t>不适应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eastAsia="宋体"/>
                <w:b/>
                <w:sz w:val="21"/>
                <w:szCs w:val="21"/>
                <w:lang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lang w:eastAsia="zh-CN"/>
              </w:rPr>
              <w:t>（</w:t>
            </w: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400" w:lineRule="exact"/>
              <w:ind w:firstLine="420" w:firstLineChars="200"/>
              <w:rPr>
                <w:rFonts w:hint="eastAsia" w:ascii="宋体" w:hAnsi="宋体" w:eastAsia="宋体" w:cs="宋体"/>
                <w:sz w:val="21"/>
                <w:szCs w:val="21"/>
              </w:rPr>
            </w:pPr>
            <w:r>
              <w:rPr>
                <w:rFonts w:hint="eastAsia" w:ascii="宋体" w:hAnsi="宋体" w:eastAsia="宋体" w:cs="宋体"/>
                <w:color w:val="000000" w:themeColor="text1"/>
                <w:sz w:val="21"/>
                <w:szCs w:val="21"/>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eastAsia="宋体" w:cs="宋体"/>
                <w:sz w:val="21"/>
                <w:szCs w:val="21"/>
              </w:rPr>
              <w:t>纠正措施的有效性需要改善。</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720" w:type="dxa"/>
            <w:vMerge w:val="continue"/>
            <w:vAlign w:val="center"/>
          </w:tcPr>
          <w:p>
            <w:pPr>
              <w:spacing w:line="240" w:lineRule="exact"/>
              <w:jc w:val="center"/>
              <w:rPr>
                <w:b/>
                <w:sz w:val="20"/>
              </w:rPr>
            </w:pPr>
          </w:p>
        </w:tc>
        <w:tc>
          <w:tcPr>
            <w:tcW w:w="9198" w:type="dxa"/>
            <w:vAlign w:val="top"/>
          </w:tcPr>
          <w:p>
            <w:pPr>
              <w:numPr>
                <w:ilvl w:val="0"/>
                <w:numId w:val="8"/>
              </w:numPr>
              <w:spacing w:line="240" w:lineRule="exact"/>
              <w:ind w:left="105" w:leftChars="0" w:hanging="105" w:hangingChars="50"/>
              <w:rPr>
                <w:rFonts w:hint="eastAsia" w:ascii="宋体" w:hAnsi="宋体"/>
                <w:b/>
                <w:sz w:val="21"/>
                <w:szCs w:val="21"/>
              </w:rPr>
            </w:pP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numPr>
                <w:ilvl w:val="0"/>
                <w:numId w:val="0"/>
              </w:numPr>
              <w:spacing w:line="240" w:lineRule="exact"/>
              <w:ind w:leftChars="-50" w:firstLine="422" w:firstLineChars="200"/>
              <w:rPr>
                <w:rFonts w:hint="eastAsia" w:ascii="宋体" w:hAnsi="宋体" w:eastAsia="宋体"/>
                <w:b/>
                <w:sz w:val="21"/>
                <w:szCs w:val="21"/>
                <w:lang w:val="en-US" w:eastAsia="zh-CN"/>
              </w:rPr>
            </w:pPr>
            <w:r>
              <w:rPr>
                <w:rFonts w:hint="eastAsia" w:ascii="宋体" w:hAnsi="宋体"/>
                <w:b/>
                <w:sz w:val="21"/>
                <w:szCs w:val="21"/>
                <w:lang w:val="en-US" w:eastAsia="zh-CN"/>
              </w:rPr>
              <w:t>无</w:t>
            </w:r>
          </w:p>
          <w:p>
            <w:pPr>
              <w:spacing w:line="24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720" w:type="dxa"/>
            <w:vMerge w:val="continue"/>
            <w:vAlign w:val="center"/>
          </w:tcPr>
          <w:p>
            <w:pPr>
              <w:spacing w:line="240" w:lineRule="exact"/>
              <w:jc w:val="center"/>
              <w:rPr>
                <w:b/>
                <w:sz w:val="20"/>
              </w:rPr>
            </w:pPr>
          </w:p>
        </w:tc>
        <w:tc>
          <w:tcPr>
            <w:tcW w:w="9198" w:type="dxa"/>
            <w:vAlign w:val="top"/>
          </w:tcPr>
          <w:p>
            <w:pPr>
              <w:numPr>
                <w:ilvl w:val="0"/>
                <w:numId w:val="8"/>
              </w:numPr>
              <w:spacing w:line="240" w:lineRule="exact"/>
              <w:ind w:left="105" w:leftChars="0" w:hanging="105" w:hangingChars="50"/>
              <w:rPr>
                <w:rFonts w:hint="eastAsia" w:ascii="宋体" w:hAnsi="宋体"/>
                <w:b/>
                <w:sz w:val="21"/>
                <w:szCs w:val="21"/>
              </w:rPr>
            </w:pPr>
            <w:r>
              <w:rPr>
                <w:rFonts w:hint="eastAsia" w:ascii="宋体" w:hAnsi="宋体"/>
                <w:b/>
                <w:sz w:val="21"/>
                <w:szCs w:val="21"/>
              </w:rPr>
              <w:t>创新情况</w:t>
            </w:r>
          </w:p>
          <w:p>
            <w:pPr>
              <w:numPr>
                <w:ilvl w:val="0"/>
                <w:numId w:val="0"/>
              </w:numPr>
              <w:spacing w:line="240" w:lineRule="exact"/>
              <w:ind w:left="-120" w:leftChars="-50" w:firstLine="531" w:firstLineChars="252"/>
              <w:rPr>
                <w:rFonts w:ascii="宋体" w:hAnsi="宋体"/>
                <w:b/>
                <w:sz w:val="21"/>
                <w:szCs w:val="21"/>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720" w:type="dxa"/>
            <w:vMerge w:val="continue"/>
            <w:vAlign w:val="center"/>
          </w:tcPr>
          <w:p>
            <w:pPr>
              <w:spacing w:line="240" w:lineRule="exact"/>
              <w:jc w:val="center"/>
              <w:rPr>
                <w:b/>
                <w:sz w:val="20"/>
              </w:rPr>
            </w:pPr>
          </w:p>
        </w:tc>
        <w:tc>
          <w:tcPr>
            <w:tcW w:w="9198" w:type="dxa"/>
          </w:tcPr>
          <w:p>
            <w:pPr>
              <w:numPr>
                <w:ilvl w:val="0"/>
                <w:numId w:val="8"/>
              </w:numPr>
              <w:spacing w:line="240" w:lineRule="exact"/>
              <w:ind w:left="105" w:leftChars="0" w:hanging="105" w:hangingChars="50"/>
              <w:rPr>
                <w:rFonts w:hint="eastAsia" w:ascii="宋体" w:hAnsi="宋体"/>
                <w:b/>
                <w:sz w:val="21"/>
                <w:szCs w:val="21"/>
              </w:rPr>
            </w:pPr>
            <w:r>
              <w:rPr>
                <w:rFonts w:hint="eastAsia" w:ascii="宋体" w:hAnsi="宋体"/>
                <w:b/>
                <w:sz w:val="21"/>
                <w:szCs w:val="21"/>
              </w:rPr>
              <w:t>上次不符合的整改情况</w:t>
            </w:r>
          </w:p>
          <w:p>
            <w:pPr>
              <w:numPr>
                <w:ilvl w:val="0"/>
                <w:numId w:val="0"/>
              </w:numPr>
              <w:spacing w:line="240" w:lineRule="exact"/>
              <w:ind w:leftChars="-50"/>
              <w:rPr>
                <w:rFonts w:hint="eastAsia" w:ascii="宋体" w:hAnsi="宋体"/>
                <w:b/>
                <w:sz w:val="21"/>
                <w:szCs w:val="21"/>
              </w:rPr>
            </w:pPr>
            <w:r>
              <w:rPr>
                <w:rFonts w:hint="eastAsia" w:ascii="宋体" w:hAnsi="宋体" w:eastAsia="宋体" w:cs="宋体"/>
                <w:color w:val="auto"/>
                <w:sz w:val="21"/>
                <w:szCs w:val="21"/>
                <w:highlight w:val="none"/>
              </w:rPr>
              <w:t>上次不符合</w:t>
            </w:r>
            <w:r>
              <w:rPr>
                <w:rFonts w:hint="eastAsia" w:ascii="宋体" w:hAnsi="宋体" w:cs="宋体"/>
                <w:color w:val="auto"/>
                <w:sz w:val="21"/>
                <w:szCs w:val="21"/>
                <w:highlight w:val="none"/>
                <w:lang w:val="en-US" w:eastAsia="zh-CN"/>
              </w:rPr>
              <w:t>为研发部门</w:t>
            </w:r>
            <w:r>
              <w:rPr>
                <w:rFonts w:hint="eastAsia" w:ascii="宋体" w:hAnsi="宋体" w:eastAsia="宋体" w:cs="宋体"/>
                <w:color w:val="auto"/>
                <w:sz w:val="21"/>
                <w:szCs w:val="21"/>
                <w:highlight w:val="none"/>
                <w:lang w:val="en-US" w:eastAsia="zh-CN"/>
              </w:rPr>
              <w:t>E</w:t>
            </w:r>
            <w:r>
              <w:rPr>
                <w:rFonts w:hint="eastAsia" w:ascii="宋体" w:hAnsi="宋体" w:cs="宋体"/>
                <w:color w:val="auto"/>
                <w:sz w:val="21"/>
                <w:szCs w:val="21"/>
                <w:highlight w:val="none"/>
                <w:lang w:val="en-US" w:eastAsia="zh-CN"/>
              </w:rPr>
              <w:t>8.1条款</w:t>
            </w:r>
            <w:r>
              <w:rPr>
                <w:rFonts w:hint="eastAsia" w:ascii="宋体" w:hAnsi="宋体" w:eastAsia="宋体" w:cs="宋体"/>
                <w:color w:val="auto"/>
                <w:sz w:val="21"/>
                <w:szCs w:val="21"/>
                <w:highlight w:val="none"/>
              </w:rPr>
              <w:t>，经本次审核验证均整改且无类似不符合情况出现。</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hint="eastAsia" w:ascii="宋体" w:eastAsia="宋体"/>
          <w:b/>
          <w:szCs w:val="21"/>
          <w:lang w:eastAsia="zh-CN"/>
        </w:rPr>
      </w:pPr>
      <w:r>
        <w:rPr>
          <w:rFonts w:hint="eastAsia"/>
          <w:b/>
          <w:spacing w:val="-10"/>
          <w:szCs w:val="21"/>
          <w:lang w:eastAsia="zh-CN"/>
        </w:rPr>
        <w:t>■</w:t>
      </w:r>
      <w:r>
        <w:rPr>
          <w:rFonts w:hint="eastAsia" w:ascii="宋体" w:hAnsi="宋体"/>
          <w:b/>
          <w:szCs w:val="21"/>
        </w:rPr>
        <w:t>可能影响本次审核结论可靠性的因素：</w:t>
      </w:r>
      <w:r>
        <w:rPr>
          <w:rFonts w:hint="eastAsia" w:ascii="宋体" w:hAnsi="宋体"/>
          <w:b/>
          <w:szCs w:val="21"/>
          <w:lang w:eastAsia="zh-CN"/>
        </w:rPr>
        <w:t>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napToGrid w:val="0"/>
        <w:spacing w:line="360" w:lineRule="auto"/>
        <w:ind w:left="-211" w:leftChars="-88" w:firstLine="537" w:firstLineChars="223"/>
        <w:rPr>
          <w:rFonts w:ascii="宋体" w:hAnsi="宋体"/>
          <w:b/>
          <w:szCs w:val="21"/>
          <w:highlight w:val="none"/>
        </w:rPr>
      </w:pPr>
      <w:r>
        <w:rPr>
          <w:rFonts w:hint="eastAsia" w:ascii="宋体" w:hAnsi="宋体"/>
          <w:b/>
          <w:szCs w:val="21"/>
          <w:highlight w:val="none"/>
        </w:rPr>
        <w:t>本</w:t>
      </w:r>
      <w:r>
        <w:rPr>
          <w:rFonts w:hint="eastAsia"/>
          <w:b/>
          <w:sz w:val="26"/>
          <w:szCs w:val="26"/>
          <w:highlight w:val="none"/>
        </w:rPr>
        <w:t>次审核共开具不符合项报告1项；其中</w:t>
      </w:r>
      <w:r>
        <w:rPr>
          <w:b/>
          <w:sz w:val="26"/>
          <w:szCs w:val="26"/>
          <w:highlight w:val="none"/>
        </w:rPr>
        <w:pict>
          <v:line id="直接连接符 1" o:spid="_x0000_s2053" o:spt="20" style="position:absolute;left:0pt;margin-left:210pt;margin-top:16.2pt;height:0pt;width:0.05pt;z-index:8192;mso-width-relative:page;mso-height-relative:page;" coordsize="21600,21600" o:allowincell="f">
            <v:path arrowok="t"/>
            <v:fill focussize="0,0"/>
            <v:stroke/>
            <v:imagedata o:title=""/>
            <o:lock v:ext="edit"/>
          </v:line>
        </w:pict>
      </w:r>
      <w:r>
        <w:rPr>
          <w:rFonts w:hint="eastAsia"/>
          <w:b/>
          <w:sz w:val="26"/>
          <w:szCs w:val="26"/>
          <w:highlight w:val="none"/>
        </w:rPr>
        <w:t>严重不符合 0项，一般不符合 1项，观察项0项。不符合项分布在</w:t>
      </w:r>
      <w:r>
        <w:rPr>
          <w:rFonts w:hint="eastAsia"/>
          <w:b/>
          <w:sz w:val="26"/>
          <w:szCs w:val="26"/>
          <w:highlight w:val="none"/>
          <w:lang w:val="en-US" w:eastAsia="zh-CN"/>
        </w:rPr>
        <w:t>行政</w:t>
      </w:r>
      <w:r>
        <w:rPr>
          <w:rFonts w:hint="eastAsia"/>
          <w:b/>
          <w:sz w:val="26"/>
          <w:szCs w:val="26"/>
          <w:highlight w:val="none"/>
        </w:rPr>
        <w:t>部门</w:t>
      </w:r>
      <w:r>
        <w:rPr>
          <w:rFonts w:hint="eastAsia"/>
          <w:b/>
          <w:sz w:val="26"/>
          <w:szCs w:val="26"/>
          <w:highlight w:val="none"/>
          <w:lang w:val="en-US" w:eastAsia="zh-CN"/>
        </w:rPr>
        <w:t>E8.2</w:t>
      </w:r>
      <w:r>
        <w:rPr>
          <w:rFonts w:hint="eastAsia"/>
          <w:b/>
          <w:sz w:val="26"/>
          <w:szCs w:val="26"/>
          <w:highlight w:val="none"/>
        </w:rPr>
        <w:t>条款，见不符合</w:t>
      </w:r>
      <w:r>
        <w:rPr>
          <w:rFonts w:hint="eastAsia" w:ascii="宋体" w:hAnsi="宋体"/>
          <w:b/>
          <w:szCs w:val="21"/>
          <w:highlight w:val="none"/>
        </w:rPr>
        <w:t>项分布表。（Q/J/E/S分开填写）</w:t>
      </w:r>
    </w:p>
    <w:p>
      <w:pPr>
        <w:tabs>
          <w:tab w:val="left" w:pos="645"/>
        </w:tabs>
        <w:spacing w:after="163" w:afterLines="50" w:line="360" w:lineRule="exact"/>
        <w:rPr>
          <w:b/>
          <w:sz w:val="16"/>
          <w:szCs w:val="16"/>
          <w:highlight w:val="none"/>
        </w:rPr>
      </w:pPr>
      <w:r>
        <w:rPr>
          <w:rFonts w:hint="eastAsia"/>
          <w:b/>
          <w:sz w:val="26"/>
          <w:szCs w:val="26"/>
          <w:highlight w:val="none"/>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98"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tabs>
                <w:tab w:val="left" w:pos="2552"/>
              </w:tabs>
              <w:spacing w:beforeLines="50" w:afterLines="50" w:line="280" w:lineRule="exact"/>
              <w:ind w:firstLine="720" w:firstLineChars="300"/>
              <w:rPr>
                <w:rFonts w:ascii="宋体" w:hAnsi="宋体"/>
                <w:b/>
                <w:szCs w:val="21"/>
              </w:rPr>
            </w:pPr>
            <w:r>
              <w:rPr>
                <w:rFonts w:hint="eastAsia" w:ascii="微软雅黑" w:hAnsi="微软雅黑" w:eastAsia="微软雅黑"/>
                <w:bCs/>
                <w:szCs w:val="24"/>
              </w:rPr>
              <w:t>综上所述，审核组一致认为（</w:t>
            </w:r>
            <w:r>
              <w:rPr>
                <w:rFonts w:ascii="宋体" w:hAnsi="宋体"/>
                <w:szCs w:val="21"/>
              </w:rPr>
              <w:t>成都坤恒顺维科技股份有限公司</w:t>
            </w:r>
            <w:r>
              <w:rPr>
                <w:rFonts w:hint="eastAsia" w:ascii="微软雅黑" w:hAnsi="微软雅黑" w:eastAsia="微软雅黑"/>
                <w:bCs/>
                <w:szCs w:val="24"/>
              </w:rPr>
              <w:t>）的</w:t>
            </w:r>
            <w:r>
              <w:rPr>
                <w:rFonts w:hint="eastAsia" w:ascii="微软雅黑" w:hAnsi="微软雅黑" w:eastAsia="微软雅黑"/>
                <w:bCs/>
                <w:szCs w:val="24"/>
                <w:lang w:eastAsia="zh-CN"/>
              </w:rPr>
              <w:t>环境</w:t>
            </w:r>
            <w:r>
              <w:rPr>
                <w:rFonts w:hint="eastAsia" w:ascii="微软雅黑" w:hAnsi="微软雅黑" w:eastAsia="微软雅黑"/>
                <w:bCs/>
                <w:szCs w:val="24"/>
              </w:rPr>
              <w:t>管理体系</w:t>
            </w:r>
            <w:r>
              <w:rPr>
                <w:rFonts w:hint="eastAsia"/>
                <w:b/>
                <w:sz w:val="26"/>
                <w:szCs w:val="26"/>
              </w:rPr>
              <w:t>适宜、充分、</w:t>
            </w:r>
            <w:r>
              <w:rPr>
                <w:rFonts w:hint="eastAsia" w:ascii="微软雅黑" w:hAnsi="微软雅黑" w:eastAsia="微软雅黑"/>
                <w:bCs/>
                <w:szCs w:val="24"/>
              </w:rPr>
              <w:t>得到良好的实施和保持，</w:t>
            </w:r>
            <w:r>
              <w:rPr>
                <w:rFonts w:hint="eastAsia" w:ascii="微软雅黑" w:hAnsi="微软雅黑" w:eastAsia="微软雅黑"/>
                <w:spacing w:val="14"/>
                <w:szCs w:val="24"/>
              </w:rPr>
              <w:t>体系运行持续有效</w:t>
            </w:r>
            <w:r>
              <w:rPr>
                <w:rFonts w:hint="eastAsia" w:ascii="微软雅黑" w:hAnsi="微软雅黑" w:eastAsia="微软雅黑"/>
                <w:spacing w:val="1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22"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rPr>
                <w:b/>
                <w:sz w:val="26"/>
                <w:szCs w:val="26"/>
              </w:rPr>
            </w:pPr>
          </w:p>
        </w:tc>
      </w:tr>
    </w:tbl>
    <w:p>
      <w:pPr>
        <w:snapToGrid w:val="0"/>
        <w:spacing w:line="240" w:lineRule="exact"/>
        <w:rPr>
          <w:b/>
          <w:sz w:val="21"/>
          <w:szCs w:val="21"/>
        </w:rPr>
      </w:pPr>
    </w:p>
    <w:p>
      <w:pPr>
        <w:tabs>
          <w:tab w:val="left" w:pos="645"/>
        </w:tabs>
        <w:spacing w:after="163" w:afterLines="50" w:line="360" w:lineRule="exact"/>
        <w:rPr>
          <w:rFonts w:hint="eastAsia"/>
          <w:b/>
          <w:sz w:val="26"/>
          <w:szCs w:val="26"/>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eastAsia"/>
          <w:b/>
          <w:sz w:val="26"/>
          <w:szCs w:val="26"/>
        </w:rPr>
      </w:pPr>
    </w:p>
    <w:p>
      <w:pPr>
        <w:spacing w:before="163" w:beforeLines="50" w:after="163" w:afterLines="50"/>
        <w:ind w:left="-122" w:leftChars="-51" w:firstLine="120" w:firstLineChars="46"/>
        <w:rPr>
          <w:rFonts w:hint="default" w:eastAsia="宋体"/>
          <w:b/>
          <w:color w:val="FF0000"/>
          <w:sz w:val="26"/>
          <w:szCs w:val="26"/>
          <w:lang w:val="en-US"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后续安排0.5人日审核研发部。</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2"/>
          <w:szCs w:val="22"/>
        </w:rPr>
        <w:drawing>
          <wp:anchor distT="0" distB="0" distL="114300" distR="114300" simplePos="0" relativeHeight="251663360" behindDoc="0" locked="0" layoutInCell="1" allowOverlap="1">
            <wp:simplePos x="0" y="0"/>
            <wp:positionH relativeFrom="column">
              <wp:posOffset>1647825</wp:posOffset>
            </wp:positionH>
            <wp:positionV relativeFrom="paragraph">
              <wp:posOffset>307340</wp:posOffset>
            </wp:positionV>
            <wp:extent cx="757555" cy="419735"/>
            <wp:effectExtent l="0" t="0" r="4445" b="698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6"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552" w:firstLineChars="250"/>
        <w:rPr>
          <w:rFonts w:hint="eastAsia"/>
          <w:b/>
          <w:sz w:val="21"/>
          <w:lang w:val="en-US" w:eastAsia="zh-CN"/>
        </w:rPr>
      </w:pPr>
      <w:r>
        <w:rPr>
          <w:rFonts w:hint="eastAsia"/>
          <w:b/>
          <w:sz w:val="22"/>
          <w:szCs w:val="22"/>
        </w:rPr>
        <w:drawing>
          <wp:anchor distT="0" distB="0" distL="114300" distR="114300" simplePos="0" relativeHeight="251665408" behindDoc="0" locked="0" layoutInCell="1" allowOverlap="1">
            <wp:simplePos x="0" y="0"/>
            <wp:positionH relativeFrom="column">
              <wp:posOffset>1663700</wp:posOffset>
            </wp:positionH>
            <wp:positionV relativeFrom="paragraph">
              <wp:posOffset>43815</wp:posOffset>
            </wp:positionV>
            <wp:extent cx="757555" cy="419735"/>
            <wp:effectExtent l="0" t="0" r="4445" b="6985"/>
            <wp:wrapNone/>
            <wp:docPr id="1" name="图片 1"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20-01-09 10.59.53_副本.jpg"/>
                    <pic:cNvPicPr>
                      <a:picLocks noChangeAspect="1" noChangeArrowheads="1"/>
                    </pic:cNvPicPr>
                  </pic:nvPicPr>
                  <pic:blipFill>
                    <a:blip r:embed="rId6"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r>
        <w:rPr>
          <w:rFonts w:hint="eastAsia"/>
          <w:b/>
          <w:sz w:val="21"/>
        </w:rPr>
        <w:t>审核组组员（签名）：</w:t>
      </w:r>
      <w:r>
        <w:rPr>
          <w:rFonts w:hint="eastAsia"/>
          <w:b/>
          <w:sz w:val="21"/>
          <w:lang w:val="en-US" w:eastAsia="zh-CN"/>
        </w:rPr>
        <w:t xml:space="preserve">                      </w:t>
      </w:r>
    </w:p>
    <w:p>
      <w:pPr>
        <w:snapToGrid w:val="0"/>
        <w:spacing w:before="163" w:beforeLines="50" w:line="320" w:lineRule="exact"/>
        <w:ind w:firstLine="4954" w:firstLineChars="2350"/>
        <w:rPr>
          <w:rFonts w:hint="default" w:eastAsia="宋体"/>
          <w:b/>
          <w:sz w:val="21"/>
          <w:lang w:val="en-US" w:eastAsia="zh-CN"/>
        </w:rPr>
      </w:pPr>
      <w:r>
        <w:rPr>
          <w:rFonts w:hint="eastAsia"/>
          <w:b/>
          <w:sz w:val="21"/>
        </w:rPr>
        <w:t>日期：</w:t>
      </w:r>
      <w:r>
        <w:rPr>
          <w:rFonts w:hint="eastAsia"/>
          <w:b/>
          <w:sz w:val="21"/>
          <w:lang w:val="en-US" w:eastAsia="zh-CN"/>
        </w:rPr>
        <w:t>2021年2月28日</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highlight w:val="none"/>
        </w:rPr>
      </w:pPr>
      <w:r>
        <w:rPr>
          <w:b/>
          <w:bCs/>
          <w:sz w:val="21"/>
          <w:szCs w:val="21"/>
          <w:highlight w:val="none"/>
        </w:rPr>
        <w:t>1.</w:t>
      </w:r>
      <w:r>
        <w:rPr>
          <w:rFonts w:hint="eastAsia"/>
          <w:b/>
          <w:bCs/>
          <w:sz w:val="21"/>
          <w:szCs w:val="21"/>
          <w:highlight w:val="none"/>
        </w:rPr>
        <w:t>审核中发现的</w:t>
      </w:r>
      <w:r>
        <w:rPr>
          <w:rFonts w:hint="eastAsia"/>
          <w:b/>
          <w:sz w:val="21"/>
          <w:szCs w:val="21"/>
          <w:highlight w:val="none"/>
        </w:rPr>
        <w:t>□</w:t>
      </w:r>
      <w:r>
        <w:rPr>
          <w:b/>
          <w:sz w:val="21"/>
          <w:szCs w:val="21"/>
          <w:highlight w:val="none"/>
        </w:rPr>
        <w:t>QMS (</w:t>
      </w:r>
      <w:r>
        <w:rPr>
          <w:rFonts w:hint="eastAsia"/>
          <w:b/>
          <w:sz w:val="21"/>
          <w:szCs w:val="21"/>
          <w:highlight w:val="none"/>
          <w:lang w:val="en-US" w:eastAsia="zh-CN"/>
        </w:rPr>
        <w:t xml:space="preserve">  </w:t>
      </w:r>
      <w:r>
        <w:rPr>
          <w:b/>
          <w:sz w:val="21"/>
          <w:szCs w:val="21"/>
          <w:highlight w:val="none"/>
        </w:rPr>
        <w:t>)</w:t>
      </w:r>
      <w:r>
        <w:rPr>
          <w:rFonts w:hint="eastAsia"/>
          <w:b/>
          <w:sz w:val="21"/>
          <w:szCs w:val="21"/>
          <w:highlight w:val="none"/>
        </w:rPr>
        <w:t>个一般不符合，</w:t>
      </w:r>
      <w:r>
        <w:rPr>
          <w:b/>
          <w:sz w:val="21"/>
          <w:szCs w:val="21"/>
          <w:highlight w:val="none"/>
        </w:rPr>
        <w:t>(</w:t>
      </w:r>
      <w:r>
        <w:rPr>
          <w:rFonts w:hint="eastAsia"/>
          <w:b/>
          <w:sz w:val="21"/>
          <w:szCs w:val="21"/>
          <w:highlight w:val="none"/>
          <w:lang w:val="en-US" w:eastAsia="zh-CN"/>
        </w:rPr>
        <w:t xml:space="preserve">  </w:t>
      </w:r>
      <w:r>
        <w:rPr>
          <w:b/>
          <w:sz w:val="21"/>
          <w:szCs w:val="21"/>
          <w:highlight w:val="none"/>
        </w:rPr>
        <w:t>)</w:t>
      </w:r>
      <w:r>
        <w:rPr>
          <w:rFonts w:hint="eastAsia"/>
          <w:b/>
          <w:sz w:val="21"/>
          <w:szCs w:val="21"/>
          <w:highlight w:val="none"/>
        </w:rPr>
        <w:t>个严重不符合，□验证合格□仍有问题</w:t>
      </w:r>
    </w:p>
    <w:p>
      <w:pPr>
        <w:spacing w:line="360" w:lineRule="exact"/>
        <w:ind w:firstLine="843" w:firstLineChars="400"/>
        <w:rPr>
          <w:b/>
          <w:bCs/>
          <w:sz w:val="21"/>
          <w:szCs w:val="21"/>
          <w:highlight w:val="none"/>
        </w:rPr>
      </w:pPr>
      <w:r>
        <w:rPr>
          <w:rFonts w:hint="eastAsia"/>
          <w:b/>
          <w:bCs/>
          <w:sz w:val="21"/>
          <w:szCs w:val="21"/>
          <w:highlight w:val="none"/>
        </w:rPr>
        <w:t>审核中发现的□50430 (  )个一般不符合，(    )个严重不符合，□验证合格□仍有问题</w:t>
      </w:r>
    </w:p>
    <w:p>
      <w:pPr>
        <w:spacing w:line="360" w:lineRule="exact"/>
        <w:ind w:firstLine="843" w:firstLineChars="400"/>
        <w:rPr>
          <w:b/>
          <w:sz w:val="21"/>
          <w:szCs w:val="21"/>
          <w:highlight w:val="none"/>
        </w:rPr>
      </w:pPr>
      <w:r>
        <w:rPr>
          <w:rFonts w:hint="eastAsia"/>
          <w:b/>
          <w:bCs/>
          <w:sz w:val="21"/>
          <w:szCs w:val="21"/>
          <w:highlight w:val="none"/>
        </w:rPr>
        <w:t>审核中发现的</w:t>
      </w:r>
      <w:r>
        <w:rPr>
          <w:rFonts w:hint="eastAsia"/>
          <w:b/>
          <w:bCs/>
          <w:sz w:val="21"/>
          <w:szCs w:val="21"/>
          <w:highlight w:val="none"/>
          <w:lang w:eastAsia="zh-CN"/>
        </w:rPr>
        <w:t>■</w:t>
      </w:r>
      <w:r>
        <w:rPr>
          <w:b/>
          <w:sz w:val="21"/>
          <w:szCs w:val="21"/>
          <w:highlight w:val="none"/>
        </w:rPr>
        <w:t>EMS (</w:t>
      </w:r>
      <w:r>
        <w:rPr>
          <w:rFonts w:hint="eastAsia"/>
          <w:b/>
          <w:sz w:val="21"/>
          <w:szCs w:val="21"/>
          <w:highlight w:val="none"/>
          <w:lang w:val="en-US" w:eastAsia="zh-CN"/>
        </w:rPr>
        <w:t xml:space="preserve"> 1 </w:t>
      </w:r>
      <w:r>
        <w:rPr>
          <w:b/>
          <w:sz w:val="21"/>
          <w:szCs w:val="21"/>
          <w:highlight w:val="none"/>
        </w:rPr>
        <w:t>)</w:t>
      </w:r>
      <w:r>
        <w:rPr>
          <w:rFonts w:hint="eastAsia"/>
          <w:b/>
          <w:sz w:val="21"/>
          <w:szCs w:val="21"/>
          <w:highlight w:val="none"/>
        </w:rPr>
        <w:t>个一般不符合，</w:t>
      </w:r>
      <w:r>
        <w:rPr>
          <w:b/>
          <w:sz w:val="21"/>
          <w:szCs w:val="21"/>
          <w:highlight w:val="none"/>
        </w:rPr>
        <w:t>(</w:t>
      </w:r>
      <w:r>
        <w:rPr>
          <w:rFonts w:hint="eastAsia"/>
          <w:b/>
          <w:sz w:val="21"/>
          <w:szCs w:val="21"/>
          <w:highlight w:val="none"/>
          <w:lang w:val="en-US" w:eastAsia="zh-CN"/>
        </w:rPr>
        <w:t xml:space="preserve"> 0</w:t>
      </w:r>
      <w:r>
        <w:rPr>
          <w:b/>
          <w:sz w:val="21"/>
          <w:szCs w:val="21"/>
          <w:highlight w:val="none"/>
        </w:rPr>
        <w:t xml:space="preserve"> )</w:t>
      </w:r>
      <w:r>
        <w:rPr>
          <w:rFonts w:hint="eastAsia"/>
          <w:b/>
          <w:sz w:val="21"/>
          <w:szCs w:val="21"/>
          <w:highlight w:val="none"/>
        </w:rPr>
        <w:t>个严重不符合，</w:t>
      </w:r>
      <w:r>
        <w:rPr>
          <w:rFonts w:hint="eastAsia"/>
          <w:b/>
          <w:sz w:val="21"/>
          <w:szCs w:val="21"/>
          <w:highlight w:val="none"/>
          <w:lang w:eastAsia="zh-CN"/>
        </w:rPr>
        <w:t>■</w:t>
      </w:r>
      <w:r>
        <w:rPr>
          <w:rFonts w:hint="eastAsia"/>
          <w:b/>
          <w:sz w:val="21"/>
          <w:szCs w:val="21"/>
          <w:highlight w:val="none"/>
        </w:rPr>
        <w:t>验证合格□仍有问题</w:t>
      </w:r>
    </w:p>
    <w:p>
      <w:pPr>
        <w:spacing w:line="360" w:lineRule="exact"/>
        <w:ind w:firstLine="843" w:firstLineChars="400"/>
        <w:rPr>
          <w:b/>
          <w:sz w:val="21"/>
          <w:szCs w:val="21"/>
          <w:highlight w:val="none"/>
        </w:rPr>
      </w:pPr>
      <w:r>
        <w:rPr>
          <w:rFonts w:hint="eastAsia"/>
          <w:b/>
          <w:bCs/>
          <w:sz w:val="21"/>
          <w:szCs w:val="21"/>
          <w:highlight w:val="none"/>
        </w:rPr>
        <w:t>审核中发现的</w:t>
      </w:r>
      <w:r>
        <w:rPr>
          <w:rFonts w:hint="eastAsia"/>
          <w:b/>
          <w:sz w:val="21"/>
          <w:szCs w:val="21"/>
          <w:highlight w:val="none"/>
        </w:rPr>
        <w:t>□</w:t>
      </w:r>
      <w:r>
        <w:rPr>
          <w:b/>
          <w:sz w:val="21"/>
          <w:szCs w:val="21"/>
          <w:highlight w:val="none"/>
        </w:rPr>
        <w:t>OHSMS (    )</w:t>
      </w:r>
      <w:r>
        <w:rPr>
          <w:rFonts w:hint="eastAsia"/>
          <w:b/>
          <w:sz w:val="21"/>
          <w:szCs w:val="21"/>
          <w:highlight w:val="none"/>
        </w:rPr>
        <w:t>个一般不符合，</w:t>
      </w:r>
      <w:r>
        <w:rPr>
          <w:b/>
          <w:sz w:val="21"/>
          <w:szCs w:val="21"/>
          <w:highlight w:val="none"/>
        </w:rPr>
        <w:t>(    )</w:t>
      </w:r>
      <w:r>
        <w:rPr>
          <w:rFonts w:hint="eastAsia"/>
          <w:b/>
          <w:sz w:val="21"/>
          <w:szCs w:val="21"/>
          <w:highlight w:val="none"/>
        </w:rPr>
        <w:t>个严重不符合，□验证合格□仍有问题</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spacing w:line="360" w:lineRule="auto"/>
        <w:ind w:left="600"/>
        <w:rPr>
          <w:rFonts w:hint="default" w:eastAsia="宋体"/>
          <w:b/>
          <w:sz w:val="21"/>
          <w:szCs w:val="21"/>
          <w:u w:val="single"/>
          <w:lang w:val="en-US" w:eastAsia="zh-CN"/>
        </w:rPr>
      </w:pPr>
      <w:r>
        <w:rPr>
          <w:rFonts w:hint="eastAsia"/>
          <w:b/>
          <w:sz w:val="22"/>
          <w:szCs w:val="22"/>
        </w:rPr>
        <w:drawing>
          <wp:anchor distT="0" distB="0" distL="114300" distR="114300" simplePos="0" relativeHeight="251667456" behindDoc="0" locked="0" layoutInCell="1" allowOverlap="1">
            <wp:simplePos x="0" y="0"/>
            <wp:positionH relativeFrom="column">
              <wp:posOffset>1171575</wp:posOffset>
            </wp:positionH>
            <wp:positionV relativeFrom="paragraph">
              <wp:posOffset>33655</wp:posOffset>
            </wp:positionV>
            <wp:extent cx="757555" cy="419735"/>
            <wp:effectExtent l="0" t="0" r="4445" b="6985"/>
            <wp:wrapNone/>
            <wp:docPr id="3" name="图片 3"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新文档 2020-01-09 10.59.53_副本.jpg"/>
                    <pic:cNvPicPr>
                      <a:picLocks noChangeAspect="1" noChangeArrowheads="1"/>
                    </pic:cNvPicPr>
                  </pic:nvPicPr>
                  <pic:blipFill>
                    <a:blip r:embed="rId6" cstate="print"/>
                    <a:srcRect t="11587"/>
                    <a:stretch>
                      <a:fillRect/>
                    </a:stretch>
                  </pic:blipFill>
                  <pic:spPr>
                    <a:xfrm>
                      <a:off x="0" y="0"/>
                      <a:ext cx="757555" cy="419735"/>
                    </a:xfrm>
                    <a:prstGeom prst="rect">
                      <a:avLst/>
                    </a:prstGeom>
                    <a:noFill/>
                    <a:ln w="9525">
                      <a:noFill/>
                      <a:miter lim="800000"/>
                      <a:headEnd/>
                      <a:tailEnd/>
                    </a:ln>
                  </pic:spPr>
                </pic:pic>
              </a:graphicData>
            </a:graphic>
          </wp:anchor>
        </w:drawing>
      </w:r>
      <w:r>
        <w:rPr>
          <w:rFonts w:hint="eastAsia"/>
          <w:b/>
          <w:sz w:val="21"/>
          <w:szCs w:val="21"/>
        </w:rPr>
        <w:t>组长签字：</w:t>
      </w:r>
      <w:r>
        <w:rPr>
          <w:rFonts w:hint="eastAsia"/>
          <w:b/>
          <w:sz w:val="21"/>
          <w:szCs w:val="21"/>
          <w:lang w:val="en-US" w:eastAsia="zh-CN"/>
        </w:rPr>
        <w:t xml:space="preserve">                       </w:t>
      </w:r>
      <w:r>
        <w:rPr>
          <w:rFonts w:hint="eastAsia"/>
          <w:b/>
          <w:szCs w:val="24"/>
          <w:lang w:val="en-US" w:eastAsia="zh-CN"/>
        </w:rPr>
        <w:t xml:space="preserve"> </w:t>
      </w:r>
      <w:r>
        <w:rPr>
          <w:rFonts w:hint="eastAsia"/>
          <w:b/>
          <w:szCs w:val="24"/>
        </w:rPr>
        <w:t>日期：</w:t>
      </w:r>
      <w:r>
        <w:rPr>
          <w:rFonts w:hint="eastAsia"/>
          <w:b/>
          <w:szCs w:val="24"/>
          <w:lang w:val="en-US" w:eastAsia="zh-CN"/>
        </w:rPr>
        <w:t>2021</w:t>
      </w:r>
      <w:r>
        <w:rPr>
          <w:rFonts w:hint="eastAsia"/>
          <w:b/>
          <w:szCs w:val="24"/>
        </w:rPr>
        <w:t xml:space="preserve"> 年 </w:t>
      </w:r>
      <w:r>
        <w:rPr>
          <w:rFonts w:hint="eastAsia"/>
          <w:b/>
          <w:szCs w:val="24"/>
          <w:lang w:val="en-US" w:eastAsia="zh-CN"/>
        </w:rPr>
        <w:t>3</w:t>
      </w:r>
      <w:r>
        <w:rPr>
          <w:rFonts w:hint="eastAsia"/>
          <w:b/>
          <w:szCs w:val="24"/>
        </w:rPr>
        <w:t xml:space="preserve">月 </w:t>
      </w:r>
      <w:r>
        <w:rPr>
          <w:rFonts w:hint="eastAsia"/>
          <w:b/>
          <w:szCs w:val="24"/>
          <w:lang w:val="en-US" w:eastAsia="zh-CN"/>
        </w:rPr>
        <w:t>4</w:t>
      </w:r>
      <w:r>
        <w:rPr>
          <w:rFonts w:hint="eastAsia"/>
          <w:b/>
          <w:szCs w:val="24"/>
        </w:rPr>
        <w:t>日</w:t>
      </w:r>
    </w:p>
    <w:p>
      <w:pPr>
        <w:ind w:left="783" w:hanging="783" w:hangingChars="300"/>
        <w:rPr>
          <w:rFonts w:hint="eastAsia"/>
          <w:b/>
          <w:sz w:val="26"/>
          <w:szCs w:val="26"/>
        </w:rPr>
      </w:pPr>
    </w:p>
    <w:p>
      <w:pPr>
        <w:rPr>
          <w:b/>
          <w:sz w:val="26"/>
          <w:szCs w:val="26"/>
        </w:rPr>
      </w:pPr>
      <w:bookmarkStart w:id="31" w:name="_GoBack"/>
      <w:bookmarkEnd w:id="31"/>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3073"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3074"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6A4795A"/>
    <w:multiLevelType w:val="singleLevel"/>
    <w:tmpl w:val="86A4795A"/>
    <w:lvl w:ilvl="0" w:tentative="0">
      <w:start w:val="8"/>
      <w:numFmt w:val="decimal"/>
      <w:suff w:val="space"/>
      <w:lvlText w:val="%1."/>
      <w:lvlJc w:val="left"/>
    </w:lvl>
  </w:abstractNum>
  <w:abstractNum w:abstractNumId="1">
    <w:nsid w:val="E89D2F20"/>
    <w:multiLevelType w:val="singleLevel"/>
    <w:tmpl w:val="E89D2F20"/>
    <w:lvl w:ilvl="0" w:tentative="0">
      <w:start w:val="2"/>
      <w:numFmt w:val="decimal"/>
      <w:lvlText w:val="%1."/>
      <w:lvlJc w:val="left"/>
      <w:pPr>
        <w:tabs>
          <w:tab w:val="left" w:pos="312"/>
        </w:tabs>
      </w:pPr>
    </w:lvl>
  </w:abstractNum>
  <w:abstractNum w:abstractNumId="2">
    <w:nsid w:val="EEC03D50"/>
    <w:multiLevelType w:val="singleLevel"/>
    <w:tmpl w:val="EEC03D50"/>
    <w:lvl w:ilvl="0" w:tentative="0">
      <w:start w:val="1"/>
      <w:numFmt w:val="decimal"/>
      <w:suff w:val="nothing"/>
      <w:lvlText w:val="%1）"/>
      <w:lvlJc w:val="left"/>
    </w:lvl>
  </w:abstractNum>
  <w:abstractNum w:abstractNumId="3">
    <w:nsid w:val="FF9FF377"/>
    <w:multiLevelType w:val="singleLevel"/>
    <w:tmpl w:val="FF9FF377"/>
    <w:lvl w:ilvl="0" w:tentative="0">
      <w:start w:val="2"/>
      <w:numFmt w:val="decimal"/>
      <w:lvlText w:val="%1."/>
      <w:lvlJc w:val="left"/>
      <w:pPr>
        <w:tabs>
          <w:tab w:val="left" w:pos="312"/>
        </w:tabs>
      </w:pPr>
    </w:lvl>
  </w:abstractNum>
  <w:abstractNum w:abstractNumId="4">
    <w:nsid w:val="2E63DEEC"/>
    <w:multiLevelType w:val="singleLevel"/>
    <w:tmpl w:val="2E63DEEC"/>
    <w:lvl w:ilvl="0" w:tentative="0">
      <w:start w:val="3"/>
      <w:numFmt w:val="decimal"/>
      <w:lvlText w:val="%1."/>
      <w:lvlJc w:val="left"/>
      <w:pPr>
        <w:tabs>
          <w:tab w:val="left" w:pos="312"/>
        </w:tabs>
      </w:pPr>
    </w:lvl>
  </w:abstractNum>
  <w:abstractNum w:abstractNumId="5">
    <w:nsid w:val="48D96EA0"/>
    <w:multiLevelType w:val="singleLevel"/>
    <w:tmpl w:val="48D96EA0"/>
    <w:lvl w:ilvl="0" w:tentative="0">
      <w:start w:val="2"/>
      <w:numFmt w:val="decimal"/>
      <w:suff w:val="nothing"/>
      <w:lvlText w:val="%1、"/>
      <w:lvlJc w:val="left"/>
    </w:lvl>
  </w:abstractNum>
  <w:abstractNum w:abstractNumId="6">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7">
    <w:nsid w:val="5DEC5CB9"/>
    <w:multiLevelType w:val="singleLevel"/>
    <w:tmpl w:val="5DEC5CB9"/>
    <w:lvl w:ilvl="0" w:tentative="0">
      <w:start w:val="5"/>
      <w:numFmt w:val="decimal"/>
      <w:suff w:val="nothing"/>
      <w:lvlText w:val="%1．"/>
      <w:lvlJc w:val="left"/>
    </w:lvl>
  </w:abstractNum>
  <w:num w:numId="1">
    <w:abstractNumId w:val="7"/>
  </w:num>
  <w:num w:numId="2">
    <w:abstractNumId w:val="5"/>
  </w:num>
  <w:num w:numId="3">
    <w:abstractNumId w:val="4"/>
  </w:num>
  <w:num w:numId="4">
    <w:abstractNumId w:val="6"/>
  </w:num>
  <w:num w:numId="5">
    <w:abstractNumId w:val="2"/>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E9413FB"/>
    <w:rsid w:val="21090CBB"/>
    <w:rsid w:val="229A420A"/>
    <w:rsid w:val="35593BCB"/>
    <w:rsid w:val="4DA12152"/>
    <w:rsid w:val="4F783DC8"/>
    <w:rsid w:val="722A14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1"/>
        <o:r id="V:Rule2"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9"/>
    <w:semiHidden/>
    <w:qFormat/>
    <w:uiPriority w:val="99"/>
    <w:rPr>
      <w:sz w:val="18"/>
      <w:szCs w:val="18"/>
    </w:rPr>
  </w:style>
  <w:style w:type="paragraph" w:styleId="4">
    <w:name w:val="footer"/>
    <w:basedOn w:val="1"/>
    <w:link w:val="10"/>
    <w:semiHidden/>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批注框文本 Char"/>
    <w:link w:val="3"/>
    <w:semiHidden/>
    <w:qFormat/>
    <w:locked/>
    <w:uiPriority w:val="99"/>
    <w:rPr>
      <w:rFonts w:ascii="Times New Roman" w:hAnsi="Times New Roman" w:eastAsia="宋体" w:cs="Times New Roman"/>
      <w:sz w:val="18"/>
      <w:szCs w:val="18"/>
    </w:rPr>
  </w:style>
  <w:style w:type="character" w:customStyle="1" w:styleId="10">
    <w:name w:val="页脚 Char"/>
    <w:link w:val="4"/>
    <w:semiHidden/>
    <w:locked/>
    <w:uiPriority w:val="99"/>
    <w:rPr>
      <w:rFonts w:ascii="Times New Roman" w:hAnsi="Times New Roman" w:eastAsia="宋体" w:cs="Times New Roman"/>
      <w:sz w:val="18"/>
      <w:szCs w:val="18"/>
    </w:rPr>
  </w:style>
  <w:style w:type="character" w:customStyle="1" w:styleId="11">
    <w:name w:val="页眉 Char"/>
    <w:link w:val="5"/>
    <w:qFormat/>
    <w:locked/>
    <w:uiPriority w:val="0"/>
    <w:rPr>
      <w:sz w:val="18"/>
    </w:rPr>
  </w:style>
  <w:style w:type="character" w:customStyle="1" w:styleId="12">
    <w:name w:val="页眉 Char1"/>
    <w:semiHidden/>
    <w:qFormat/>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5</TotalTime>
  <ScaleCrop>false</ScaleCrop>
  <LinksUpToDate>false</LinksUpToDate>
  <CharactersWithSpaces>4294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way一直都在</cp:lastModifiedBy>
  <cp:lastPrinted>2019-04-18T08:15:00Z</cp:lastPrinted>
  <dcterms:modified xsi:type="dcterms:W3CDTF">2021-03-04T03:11:24Z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