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u w:val="single"/>
        </w:rPr>
        <w:t>0118-2021-EO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四川省浪樱照明工程有限公司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四川省浪樱照明工程有限公司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成都市武侯区武侯新城管委会武青南路 51 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10" w:name="办公地址"/>
            <w:r>
              <w:rPr>
                <w:rFonts w:ascii="宋体" w:hAnsi="宋体"/>
                <w:b/>
                <w:color w:val="000000" w:themeColor="text1"/>
                <w:sz w:val="20"/>
                <w:szCs w:val="20"/>
              </w:rPr>
              <w:t>成都市武侯区武侯新城管委会武青南路 51 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18829841889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张格</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hint="eastAsia"/>
                <w:sz w:val="21"/>
                <w:szCs w:val="21"/>
              </w:rPr>
              <w:t>张毅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E：灯杆、灯具、公路交通设施（道 路路灯、指示牌、防护栏）、高低压配电系统、路 灯智能控制系统的销售所涉及场所的相关环境管理活动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O：灯杆、灯具、公路交通设施（道 路路灯、指示牌、防护栏）、高低压配电系统、路 灯智能控制系统的销售所涉及场所的相关职业健康安全管理活动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总经办</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sz w:val="20"/>
                <w:szCs w:val="20"/>
                <w:lang w:eastAsia="zh-CN"/>
              </w:rPr>
            </w:pPr>
            <w:r>
              <w:rPr>
                <w:rFonts w:hint="eastAsia" w:ascii="宋体" w:hAnsi="宋体"/>
                <w:szCs w:val="21"/>
                <w:lang w:eastAsia="zh-CN"/>
              </w:rPr>
              <w:t>灯杆、灯具、公路交通设施（道 路路灯、指示牌、防护栏）、高低压配电系统、路 灯智能控制系统的销售</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w:t>
            </w:r>
            <w:r>
              <w:rPr>
                <w:rFonts w:hint="eastAsia"/>
              </w:rPr>
              <w:t>中华人民共和国环境保护法、中华人民共和国大气污染防治法、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2</w:t>
      </w:r>
      <w:r>
        <w:rPr>
          <w:rFonts w:hint="eastAsia"/>
          <w:b/>
          <w:color w:val="000000" w:themeColor="text1"/>
          <w:spacing w:val="-10"/>
          <w:szCs w:val="21"/>
          <w:u w:val="single"/>
        </w:rPr>
        <w:t>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Cs w:val="21"/>
              </w:rPr>
              <w:t xml:space="preserve">环境管理方针： </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szCs w:val="21"/>
              </w:rPr>
              <w:t>。</w:t>
            </w:r>
          </w:p>
          <w:p>
            <w:pPr>
              <w:tabs>
                <w:tab w:val="left" w:pos="3731"/>
              </w:tabs>
              <w:adjustRightInd w:val="0"/>
              <w:snapToGrid w:val="0"/>
              <w:spacing w:line="312" w:lineRule="auto"/>
              <w:rPr>
                <w:b/>
                <w:color w:val="000000" w:themeColor="text1"/>
              </w:rPr>
            </w:pPr>
            <w:r>
              <w:rPr>
                <w:rFonts w:hint="eastAsia" w:ascii="宋体" w:hAnsi="宋体"/>
                <w:color w:val="000000"/>
                <w:szCs w:val="21"/>
              </w:rPr>
              <w:t>职业健康安全管理方针：</w:t>
            </w:r>
            <w:r>
              <w:rPr>
                <w:rFonts w:hint="eastAsia" w:ascii="宋体" w:hAnsi="宋体" w:eastAsia="宋体" w:cs="Times New Roman"/>
                <w:color w:val="000000"/>
                <w:szCs w:val="21"/>
              </w:rPr>
              <w:t>以人为本   关爱生命  保护环境  珍惜资源  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rPr>
                <w:highlight w:val="green"/>
              </w:rPr>
            </w:pPr>
            <w:r>
              <w:rPr>
                <w:rFonts w:hint="eastAsia"/>
              </w:rPr>
              <w:t>环境、职业健康安全目标：（考核时间20</w:t>
            </w:r>
            <w:r>
              <w:rPr>
                <w:rFonts w:hint="eastAsia"/>
                <w:lang w:val="en-US" w:eastAsia="zh-CN"/>
              </w:rPr>
              <w:t>20</w:t>
            </w:r>
            <w:r>
              <w:rPr>
                <w:rFonts w:hint="eastAsia"/>
              </w:rPr>
              <w:t>年</w:t>
            </w:r>
            <w:r>
              <w:rPr>
                <w:rFonts w:hint="eastAsia"/>
                <w:lang w:val="en-US" w:eastAsia="zh-CN"/>
              </w:rPr>
              <w:t>9</w:t>
            </w:r>
            <w:r>
              <w:rPr>
                <w:rFonts w:hint="eastAsia"/>
              </w:rPr>
              <w:t>月-202</w:t>
            </w:r>
            <w:r>
              <w:rPr>
                <w:rFonts w:hint="eastAsia"/>
                <w:lang w:val="en-US" w:eastAsia="zh-CN"/>
              </w:rPr>
              <w:t>1</w:t>
            </w:r>
            <w:r>
              <w:rPr>
                <w:rFonts w:hint="eastAsia"/>
              </w:rPr>
              <w:t>年</w:t>
            </w:r>
            <w:r>
              <w:rPr>
                <w:rFonts w:hint="eastAsia"/>
                <w:lang w:val="en-US" w:eastAsia="zh-CN"/>
              </w:rPr>
              <w:t>2</w:t>
            </w:r>
            <w:r>
              <w:rPr>
                <w:rFonts w:hint="eastAsia"/>
              </w:rPr>
              <w:t>月）</w:t>
            </w:r>
          </w:p>
          <w:p>
            <w:pPr>
              <w:jc w:val="left"/>
              <w:rPr>
                <w:rFonts w:hint="eastAsia"/>
                <w:szCs w:val="22"/>
                <w:lang w:eastAsia="zh-CN"/>
              </w:rPr>
            </w:pPr>
            <w:r>
              <w:rPr>
                <w:rFonts w:hint="eastAsia"/>
                <w:szCs w:val="22"/>
                <w:lang w:val="en-US" w:eastAsia="zh-CN"/>
              </w:rPr>
              <w:t>1）</w:t>
            </w:r>
            <w:r>
              <w:rPr>
                <w:rFonts w:hint="eastAsia"/>
                <w:szCs w:val="22"/>
                <w:lang w:eastAsia="zh-CN"/>
              </w:rPr>
              <w:t>固废合规排放率 100%</w:t>
            </w:r>
            <w:r>
              <w:rPr>
                <w:rFonts w:hint="eastAsia"/>
                <w:szCs w:val="22"/>
                <w:lang w:val="en-US" w:eastAsia="zh-CN"/>
              </w:rPr>
              <w:t xml:space="preserve">       </w:t>
            </w:r>
            <w:r>
              <w:rPr>
                <w:rFonts w:hint="eastAsia"/>
                <w:szCs w:val="22"/>
                <w:lang w:eastAsia="zh-CN"/>
              </w:rPr>
              <w:t>100%</w:t>
            </w:r>
          </w:p>
          <w:p>
            <w:pPr>
              <w:jc w:val="left"/>
              <w:rPr>
                <w:rFonts w:hint="default"/>
                <w:szCs w:val="22"/>
                <w:lang w:val="en-US" w:eastAsia="zh-CN"/>
              </w:rPr>
            </w:pPr>
            <w:r>
              <w:rPr>
                <w:rFonts w:hint="eastAsia"/>
                <w:szCs w:val="22"/>
                <w:lang w:val="en-US" w:eastAsia="zh-CN"/>
              </w:rPr>
              <w:t>2）</w:t>
            </w:r>
            <w:r>
              <w:rPr>
                <w:rFonts w:hint="eastAsia"/>
                <w:szCs w:val="22"/>
                <w:lang w:eastAsia="zh-CN"/>
              </w:rPr>
              <w:t>火灾发生次数为0</w:t>
            </w:r>
            <w:r>
              <w:rPr>
                <w:rFonts w:hint="eastAsia"/>
                <w:szCs w:val="22"/>
                <w:lang w:val="en-US" w:eastAsia="zh-CN"/>
              </w:rPr>
              <w:t xml:space="preserve">               0</w:t>
            </w:r>
          </w:p>
          <w:p>
            <w:pPr>
              <w:jc w:val="left"/>
              <w:rPr>
                <w:rFonts w:hint="default"/>
                <w:szCs w:val="22"/>
                <w:lang w:val="en-US" w:eastAsia="zh-CN"/>
              </w:rPr>
            </w:pPr>
            <w:r>
              <w:rPr>
                <w:rFonts w:hint="eastAsia"/>
                <w:szCs w:val="22"/>
                <w:lang w:val="en-US" w:eastAsia="zh-CN"/>
              </w:rPr>
              <w:t>3）</w:t>
            </w:r>
            <w:r>
              <w:rPr>
                <w:rFonts w:hint="eastAsia"/>
                <w:szCs w:val="22"/>
                <w:lang w:eastAsia="zh-CN"/>
              </w:rPr>
              <w:t>环境投诉为0</w:t>
            </w:r>
            <w:r>
              <w:rPr>
                <w:rFonts w:hint="eastAsia"/>
                <w:szCs w:val="22"/>
                <w:lang w:val="en-US" w:eastAsia="zh-CN"/>
              </w:rPr>
              <w:t xml:space="preserve">                   0</w:t>
            </w:r>
          </w:p>
          <w:p>
            <w:pPr>
              <w:jc w:val="left"/>
              <w:rPr>
                <w:rFonts w:hint="default" w:ascii="宋体" w:hAnsi="宋体"/>
                <w:b/>
                <w:color w:val="000000" w:themeColor="text1"/>
                <w:lang w:val="en-US"/>
              </w:rPr>
            </w:pPr>
            <w:r>
              <w:rPr>
                <w:rFonts w:hint="eastAsia"/>
                <w:szCs w:val="22"/>
                <w:lang w:val="en-US" w:eastAsia="zh-CN"/>
              </w:rPr>
              <w:t>4）</w:t>
            </w:r>
            <w:r>
              <w:rPr>
                <w:rFonts w:hint="eastAsia"/>
                <w:szCs w:val="22"/>
                <w:lang w:eastAsia="zh-CN"/>
              </w:rPr>
              <w:t>职业健康安全事故为0</w:t>
            </w:r>
            <w:r>
              <w:rPr>
                <w:rFonts w:hint="eastAsia"/>
                <w:szCs w:val="22"/>
                <w:lang w:val="en-US" w:eastAsia="zh-CN"/>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灯杆、灯具、公路交通设施（道 路路灯、指示牌、防护栏）、高低压配电系统、路 灯智能控制系统的销售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color w:val="auto"/>
                <w:szCs w:val="21"/>
              </w:rPr>
              <w:t>办公场所面积1</w:t>
            </w:r>
            <w:r>
              <w:rPr>
                <w:rFonts w:hint="eastAsia" w:ascii="宋体" w:hAnsi="宋体"/>
                <w:color w:val="auto"/>
                <w:szCs w:val="21"/>
                <w:lang w:val="en-US" w:eastAsia="zh-CN"/>
              </w:rPr>
              <w:t>0</w:t>
            </w:r>
            <w:r>
              <w:rPr>
                <w:rFonts w:hint="eastAsia" w:ascii="宋体" w:hAnsi="宋体"/>
                <w:color w:val="auto"/>
                <w:szCs w:val="21"/>
              </w:rPr>
              <w:t>0平方左右，无库房，</w:t>
            </w:r>
            <w:r>
              <w:rPr>
                <w:rFonts w:hint="eastAsia"/>
                <w:color w:val="auto"/>
                <w:szCs w:val="21"/>
              </w:rPr>
              <w:t>生产地设有1</w:t>
            </w:r>
            <w:r>
              <w:rPr>
                <w:rFonts w:hint="eastAsia"/>
                <w:color w:val="auto"/>
                <w:szCs w:val="21"/>
                <w:lang w:val="en-US" w:eastAsia="zh-CN"/>
              </w:rPr>
              <w:t>5</w:t>
            </w:r>
            <w:r>
              <w:rPr>
                <w:rFonts w:hint="eastAsia"/>
                <w:color w:val="auto"/>
                <w:szCs w:val="21"/>
              </w:rPr>
              <w:t>0</w:t>
            </w:r>
            <w:r>
              <w:rPr>
                <w:rFonts w:hint="eastAsia"/>
                <w:color w:val="auto"/>
                <w:szCs w:val="21"/>
                <w:lang w:val="en-US" w:eastAsia="zh-CN"/>
              </w:rPr>
              <w:t>0</w:t>
            </w:r>
            <w:r>
              <w:rPr>
                <w:rFonts w:hint="eastAsia"/>
                <w:color w:val="auto"/>
                <w:szCs w:val="21"/>
              </w:rPr>
              <w:t>平方米库房，产品装卸使用</w:t>
            </w:r>
            <w:r>
              <w:rPr>
                <w:rFonts w:hint="eastAsia"/>
                <w:color w:val="auto"/>
                <w:szCs w:val="21"/>
                <w:lang w:val="en-US" w:eastAsia="zh-CN"/>
              </w:rPr>
              <w:t>行车</w:t>
            </w:r>
            <w:r>
              <w:rPr>
                <w:rFonts w:hint="eastAsia"/>
                <w:color w:val="auto"/>
                <w:szCs w:val="21"/>
              </w:rPr>
              <w:t>作业</w:t>
            </w:r>
            <w:r>
              <w:rPr>
                <w:rFonts w:hint="eastAsia" w:ascii="宋体" w:hAnsi="宋体"/>
                <w:color w:val="auto"/>
                <w:szCs w:val="21"/>
              </w:rPr>
              <w:t>。</w:t>
            </w:r>
            <w:r>
              <w:rPr>
                <w:rFonts w:hint="eastAsia" w:ascii="宋体" w:hAnsi="宋体" w:cs="宋体"/>
                <w:color w:val="auto"/>
                <w:szCs w:val="21"/>
              </w:rPr>
              <w:t>主要生产设备</w:t>
            </w:r>
            <w:r>
              <w:rPr>
                <w:rFonts w:hint="eastAsia" w:ascii="宋体" w:hAnsi="宋体" w:cs="宋体"/>
                <w:szCs w:val="21"/>
              </w:rPr>
              <w:t>包括电脑和办公设备</w:t>
            </w:r>
            <w:r>
              <w:rPr>
                <w:rFonts w:hint="eastAsia" w:ascii="宋体" w:hAnsi="宋体"/>
                <w:szCs w:val="21"/>
              </w:rPr>
              <w:t>，可以满足</w:t>
            </w:r>
            <w:r>
              <w:rPr>
                <w:rFonts w:hint="eastAsia" w:ascii="宋体" w:hAnsi="宋体"/>
                <w:szCs w:val="21"/>
                <w:lang w:eastAsia="zh-CN"/>
              </w:rPr>
              <w:t>灯杆、灯具、公路交通设施（道 路路灯、指示牌、防护栏）、高低压配电系统、路 灯智能控制系统的销售</w:t>
            </w:r>
            <w:r>
              <w:rPr>
                <w:rFonts w:hint="eastAsia" w:ascii="宋体" w:hAnsi="宋体"/>
                <w:szCs w:val="21"/>
              </w:rPr>
              <w:t>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rPr>
              <w:t>生产地配置有：</w:t>
            </w:r>
            <w:r>
              <w:rPr>
                <w:rFonts w:hint="eastAsia" w:ascii="宋体"/>
                <w:color w:val="000000"/>
                <w:sz w:val="20"/>
                <w:szCs w:val="20"/>
                <w:lang w:val="en-US" w:eastAsia="zh-CN"/>
              </w:rPr>
              <w:t>钢</w:t>
            </w:r>
            <w:r>
              <w:rPr>
                <w:rFonts w:hint="eastAsia" w:ascii="宋体"/>
                <w:color w:val="auto"/>
                <w:sz w:val="20"/>
                <w:szCs w:val="20"/>
                <w:highlight w:val="none"/>
              </w:rPr>
              <w:t>卷尺、</w:t>
            </w:r>
            <w:r>
              <w:rPr>
                <w:rFonts w:hint="eastAsia" w:ascii="宋体"/>
                <w:color w:val="auto"/>
                <w:sz w:val="20"/>
                <w:szCs w:val="20"/>
                <w:highlight w:val="none"/>
                <w:lang w:val="en-US" w:eastAsia="zh-CN"/>
              </w:rPr>
              <w:t>钢</w:t>
            </w:r>
            <w:r>
              <w:rPr>
                <w:rFonts w:hint="eastAsia" w:ascii="宋体"/>
                <w:color w:val="auto"/>
                <w:sz w:val="20"/>
                <w:szCs w:val="20"/>
                <w:highlight w:val="none"/>
              </w:rPr>
              <w:t>直尺等检测设备。销</w:t>
            </w:r>
            <w:r>
              <w:rPr>
                <w:rFonts w:hint="eastAsia" w:ascii="宋体"/>
                <w:color w:val="auto"/>
                <w:sz w:val="20"/>
                <w:szCs w:val="20"/>
              </w:rPr>
              <w:t>售的产品出具检验报</w:t>
            </w:r>
            <w:r>
              <w:rPr>
                <w:rFonts w:hint="eastAsia" w:ascii="宋体"/>
                <w:color w:val="000000"/>
                <w:sz w:val="20"/>
                <w:szCs w:val="20"/>
              </w:rPr>
              <w:t>告，客户按约定要求进行验收。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w:t>
            </w:r>
            <w:r>
              <w:rPr>
                <w:rFonts w:hint="eastAsia" w:asciiTheme="minorEastAsia" w:hAnsiTheme="minorEastAsia" w:eastAsiaTheme="minorEastAsia"/>
                <w:bCs/>
                <w:iCs/>
                <w:lang w:eastAsia="zh-CN"/>
              </w:rPr>
              <w:t>1）噪声的排放；2）潜在火灾；3）固废排放</w:t>
            </w:r>
            <w:r>
              <w:rPr>
                <w:rFonts w:hint="eastAsia" w:asciiTheme="minorEastAsia" w:hAnsiTheme="minorEastAsia" w:eastAsiaTheme="minorEastAsia"/>
                <w:bCs/>
                <w:iCs/>
              </w:rPr>
              <w:t>，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建立有《内部审核控制程序》，规定了内审频次一年一次，内审时间：2020年12月9日，拟定了审核实施表，明确了内审范围，内审人员经培训合格上岗，能力满足要求，未出现审核本部门情况，内审不符合项1项，</w:t>
            </w:r>
            <w:r>
              <w:rPr>
                <w:rFonts w:hint="eastAsia" w:ascii="宋体" w:hAnsi="宋体" w:cs="宋体"/>
                <w:szCs w:val="21"/>
                <w:highlight w:val="none"/>
              </w:rPr>
              <w:t>涉及生产技术部E</w:t>
            </w:r>
            <w:r>
              <w:rPr>
                <w:rFonts w:hint="eastAsia" w:ascii="宋体" w:hAnsi="宋体" w:cs="宋体"/>
                <w:szCs w:val="21"/>
                <w:highlight w:val="none"/>
                <w:lang w:val="en-US" w:eastAsia="zh-CN"/>
              </w:rPr>
              <w:t>/</w:t>
            </w:r>
            <w:r>
              <w:rPr>
                <w:rFonts w:hint="eastAsia" w:ascii="宋体" w:hAnsi="宋体" w:cs="宋体"/>
                <w:szCs w:val="21"/>
                <w:highlight w:val="none"/>
              </w:rPr>
              <w:t>S</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条款未看到2020年突发事件的应急演练记录，针对该不符合项，已及时采取纠正措施后，经内审员验证关闭</w:t>
            </w:r>
            <w:r>
              <w:rPr>
                <w:rFonts w:hint="eastAsia" w:ascii="宋体" w:hAnsi="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w:t>
            </w:r>
            <w:r>
              <w:rPr>
                <w:rFonts w:hint="eastAsia" w:ascii="宋体" w:hAnsi="宋体"/>
                <w:color w:val="auto"/>
                <w:szCs w:val="21"/>
              </w:rPr>
              <w:t>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w:t>
      </w:r>
      <w:r>
        <w:rPr>
          <w:rFonts w:hint="eastAsia"/>
          <w:b/>
          <w:color w:val="auto"/>
        </w:rPr>
        <w:t xml:space="preserve"> 本次审核共开具不符合项报告1项；其中</w:t>
      </w:r>
      <w:r>
        <w:rPr>
          <w:b/>
          <w:color w:val="auto"/>
        </w:rPr>
        <w:pict>
          <v:line id="直接连接符 1" o:spid="_x0000_s2052" o:spt="20" style="position:absolute;left:0pt;margin-left:210pt;margin-top:16.2pt;height:0pt;width:0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严重不符合0项，一般不符合 1项，观察项0项，分布在部门</w:t>
      </w:r>
      <w:r>
        <w:rPr>
          <w:rFonts w:hint="eastAsia"/>
          <w:b/>
          <w:color w:val="auto"/>
          <w:lang w:val="en-US" w:eastAsia="zh-CN"/>
        </w:rPr>
        <w:t>市场</w:t>
      </w:r>
      <w:r>
        <w:rPr>
          <w:rFonts w:hint="eastAsia"/>
          <w:b/>
          <w:color w:val="auto"/>
        </w:rPr>
        <w:t>部E/S</w:t>
      </w:r>
      <w:r>
        <w:rPr>
          <w:rFonts w:hint="eastAsia"/>
          <w:b/>
          <w:color w:val="auto"/>
          <w:lang w:val="en-US" w:eastAsia="zh-CN"/>
        </w:rPr>
        <w:t>7.4.3</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rPr>
            </w:pPr>
            <w:r>
              <w:rPr>
                <w:rFonts w:hint="eastAsia" w:ascii="宋体" w:hAnsi="宋体"/>
                <w:b/>
                <w:color w:val="000000" w:themeColor="text1"/>
              </w:rPr>
              <w:t xml:space="preserve">EMS: </w:t>
            </w:r>
            <w:r>
              <w:rPr>
                <w:rFonts w:hint="eastAsia" w:ascii="宋体" w:hAnsi="宋体"/>
                <w:b/>
                <w:color w:val="000000" w:themeColor="text1"/>
                <w:u w:val="single"/>
                <w:lang w:eastAsia="zh-CN"/>
              </w:rPr>
              <w:t>灯杆、灯具、公路交通设施（道 路路灯、指示牌、防护栏）、高低压配电系统、路 灯智能控制系统的销售</w:t>
            </w:r>
            <w:r>
              <w:rPr>
                <w:rFonts w:hint="eastAsia" w:ascii="宋体" w:hAnsi="宋体"/>
                <w:b/>
                <w:color w:val="000000" w:themeColor="text1"/>
                <w:u w:val="single"/>
              </w:rPr>
              <w:t>所涉及的相关环境管理活动。</w:t>
            </w:r>
          </w:p>
          <w:p>
            <w:pPr>
              <w:spacing w:line="320" w:lineRule="exact"/>
              <w:rPr>
                <w:rFonts w:ascii="宋体" w:hAnsi="宋体"/>
                <w:b/>
                <w:color w:val="000000" w:themeColor="text1"/>
                <w:u w:val="single"/>
              </w:rPr>
            </w:pPr>
            <w:r>
              <w:rPr>
                <w:rFonts w:hint="eastAsia" w:ascii="宋体" w:hAnsi="宋体"/>
                <w:b/>
                <w:color w:val="000000" w:themeColor="text1"/>
              </w:rPr>
              <w:t xml:space="preserve">OHSMS: </w:t>
            </w:r>
            <w:r>
              <w:rPr>
                <w:rFonts w:hint="eastAsia" w:ascii="宋体" w:hAnsi="宋体"/>
                <w:b/>
                <w:color w:val="000000" w:themeColor="text1"/>
                <w:u w:val="single"/>
                <w:lang w:eastAsia="zh-CN"/>
              </w:rPr>
              <w:t>灯杆、灯具、公路交通设施（道 路路灯、指示牌、防护栏）、高低压配电系统、路 灯智能控制系统的销售</w:t>
            </w:r>
            <w:r>
              <w:rPr>
                <w:rFonts w:hint="eastAsia" w:ascii="宋体" w:hAnsi="宋体"/>
                <w:b/>
                <w:color w:val="000000" w:themeColor="text1"/>
                <w:u w:val="single"/>
              </w:rPr>
              <w:t>所涉及的相关职业健康安全管理活动。</w:t>
            </w:r>
          </w:p>
          <w:p>
            <w:pPr>
              <w:spacing w:line="32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156" w:beforeLines="50" w:after="156" w:afterLines="50"/>
        <w:ind w:left="1" w:leftChars="-405" w:hanging="851" w:hangingChars="326"/>
        <w:rPr>
          <w:color w:val="000000" w:themeColor="text1"/>
          <w:sz w:val="28"/>
          <w:szCs w:val="28"/>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color w:val="000000" w:themeColor="text1"/>
          <w:sz w:val="28"/>
          <w:szCs w:val="28"/>
        </w:rPr>
        <w:t>无。</w:t>
      </w:r>
    </w:p>
    <w:p>
      <w:pPr>
        <w:snapToGrid w:val="0"/>
        <w:rPr>
          <w:b/>
          <w:bCs/>
          <w:color w:val="000000" w:themeColor="text1"/>
          <w:szCs w:val="28"/>
          <w:u w:val="single"/>
        </w:rPr>
      </w:pPr>
    </w:p>
    <w:p>
      <w:pPr>
        <w:snapToGrid w:val="0"/>
        <w:spacing w:after="156" w:afterLines="50" w:line="360" w:lineRule="auto"/>
        <w:ind w:left="1" w:leftChars="-405" w:hanging="851" w:hangingChars="326"/>
        <w:rPr>
          <w:rFonts w:hint="eastAsia" w:eastAsia="宋体"/>
          <w:b/>
          <w:color w:val="000000" w:themeColor="text1"/>
          <w:sz w:val="16"/>
          <w:szCs w:val="16"/>
          <w:lang w:eastAsia="zh-CN"/>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rFonts w:hint="eastAsia"/>
          <w:b/>
          <w:color w:val="000000" w:themeColor="text1"/>
          <w:sz w:val="26"/>
          <w:szCs w:val="26"/>
        </w:rPr>
      </w:pPr>
      <w:r>
        <w:rPr>
          <w:sz w:val="22"/>
          <w:szCs w:val="22"/>
        </w:rPr>
        <w:drawing>
          <wp:anchor distT="0" distB="0" distL="0" distR="0" simplePos="0" relativeHeight="251664384" behindDoc="0" locked="0" layoutInCell="1" allowOverlap="1">
            <wp:simplePos x="0" y="0"/>
            <wp:positionH relativeFrom="column">
              <wp:posOffset>1826895</wp:posOffset>
            </wp:positionH>
            <wp:positionV relativeFrom="paragraph">
              <wp:posOffset>170815</wp:posOffset>
            </wp:positionV>
            <wp:extent cx="749300" cy="467995"/>
            <wp:effectExtent l="0" t="0" r="0" b="1905"/>
            <wp:wrapNone/>
            <wp:docPr id="1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新文档 2020-01-09 10"/>
                    <pic:cNvPicPr>
                      <a:picLocks noChangeAspect="1" noChangeArrowheads="1"/>
                    </pic:cNvPicPr>
                  </pic:nvPicPr>
                  <pic:blipFill>
                    <a:blip r:embed="rId6"/>
                    <a:srcRect/>
                    <a:stretch>
                      <a:fillRect/>
                    </a:stretch>
                  </pic:blipFill>
                  <pic:spPr>
                    <a:xfrm>
                      <a:off x="0" y="0"/>
                      <a:ext cx="749046" cy="468173"/>
                    </a:xfrm>
                    <a:prstGeom prst="rect">
                      <a:avLst/>
                    </a:prstGeom>
                    <a:noFill/>
                    <a:ln w="9525">
                      <a:noFill/>
                      <a:miter lim="800000"/>
                      <a:headEnd/>
                      <a:tailEnd/>
                    </a:ln>
                  </pic:spPr>
                </pic:pic>
              </a:graphicData>
            </a:graphic>
          </wp:anchor>
        </w:drawing>
      </w:r>
    </w:p>
    <w:p>
      <w:pPr>
        <w:snapToGrid w:val="0"/>
        <w:spacing w:after="156" w:afterLines="50" w:line="360" w:lineRule="auto"/>
        <w:ind w:left="151" w:leftChars="72" w:firstLine="575" w:firstLineChars="274"/>
        <w:rPr>
          <w:b/>
          <w:color w:val="000000" w:themeColor="text1"/>
          <w:sz w:val="26"/>
          <w:szCs w:val="26"/>
        </w:rPr>
      </w:pPr>
      <w:r>
        <w:rPr>
          <w:rFonts w:hint="eastAsia" w:eastAsia="宋体"/>
          <w:lang w:eastAsia="zh-CN"/>
        </w:rPr>
        <w:drawing>
          <wp:anchor distT="0" distB="0" distL="114300" distR="114300" simplePos="0" relativeHeight="251688960" behindDoc="0" locked="0" layoutInCell="1" allowOverlap="1">
            <wp:simplePos x="0" y="0"/>
            <wp:positionH relativeFrom="column">
              <wp:posOffset>2289175</wp:posOffset>
            </wp:positionH>
            <wp:positionV relativeFrom="paragraph">
              <wp:posOffset>324485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80768" behindDoc="0" locked="0" layoutInCell="1" allowOverlap="1">
            <wp:simplePos x="0" y="0"/>
            <wp:positionH relativeFrom="column">
              <wp:posOffset>3416935</wp:posOffset>
            </wp:positionH>
            <wp:positionV relativeFrom="paragraph">
              <wp:posOffset>302895</wp:posOffset>
            </wp:positionV>
            <wp:extent cx="812165" cy="314960"/>
            <wp:effectExtent l="0" t="0" r="635" b="254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314960"/>
                    </a:xfrm>
                    <a:prstGeom prst="rect">
                      <a:avLst/>
                    </a:prstGeom>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91" w:leftChars="91" w:firstLine="715" w:firstLineChars="274"/>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 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rPr>
        <w:t>■</w:t>
      </w:r>
      <w:r>
        <w:rPr>
          <w:rFonts w:hint="eastAsia"/>
          <w:b/>
          <w:color w:val="auto"/>
          <w:szCs w:val="21"/>
        </w:rPr>
        <w:t>EMS( 1 )个一般不符合，( 0 )个严重不符合，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rPr>
        <w:t>■</w:t>
      </w:r>
      <w:r>
        <w:rPr>
          <w:rFonts w:hint="eastAsia"/>
          <w:b/>
          <w:color w:val="auto"/>
          <w:szCs w:val="21"/>
        </w:rPr>
        <w:t>OHSMS( 1 )个一般不符合，( 0 )个严重不符合，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sz w:val="22"/>
          <w:szCs w:val="22"/>
        </w:rPr>
        <w:drawing>
          <wp:anchor distT="0" distB="0" distL="0" distR="0" simplePos="0" relativeHeight="251696128" behindDoc="0" locked="0" layoutInCell="1" allowOverlap="1">
            <wp:simplePos x="0" y="0"/>
            <wp:positionH relativeFrom="column">
              <wp:posOffset>718820</wp:posOffset>
            </wp:positionH>
            <wp:positionV relativeFrom="paragraph">
              <wp:posOffset>41910</wp:posOffset>
            </wp:positionV>
            <wp:extent cx="749300" cy="467995"/>
            <wp:effectExtent l="0" t="0" r="0" b="1905"/>
            <wp:wrapNone/>
            <wp:docPr id="4"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新文档 2020-01-09 10"/>
                    <pic:cNvPicPr>
                      <a:picLocks noChangeAspect="1" noChangeArrowheads="1"/>
                    </pic:cNvPicPr>
                  </pic:nvPicPr>
                  <pic:blipFill>
                    <a:blip r:embed="rId6"/>
                    <a:srcRect/>
                    <a:stretch>
                      <a:fillRect/>
                    </a:stretch>
                  </pic:blipFill>
                  <pic:spPr>
                    <a:xfrm>
                      <a:off x="0" y="0"/>
                      <a:ext cx="749300" cy="46799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日期:  202</w:t>
      </w:r>
      <w:r>
        <w:rPr>
          <w:rFonts w:hint="eastAsia"/>
          <w:b/>
          <w:color w:val="000000" w:themeColor="text1"/>
          <w:szCs w:val="21"/>
          <w:highlight w:val="none"/>
          <w:lang w:val="en-US" w:eastAsia="zh-CN"/>
        </w:rPr>
        <w:t>1</w:t>
      </w:r>
      <w:r>
        <w:rPr>
          <w:rFonts w:hint="eastAsia"/>
          <w:b/>
          <w:color w:val="000000" w:themeColor="text1"/>
          <w:szCs w:val="21"/>
          <w:highlight w:val="none"/>
        </w:rPr>
        <w:t>年</w:t>
      </w:r>
      <w:r>
        <w:rPr>
          <w:rFonts w:hint="eastAsia"/>
          <w:b/>
          <w:color w:val="000000" w:themeColor="text1"/>
          <w:szCs w:val="21"/>
          <w:highlight w:val="none"/>
          <w:lang w:val="en-US" w:eastAsia="zh-CN"/>
        </w:rPr>
        <w:t xml:space="preserve">3 </w:t>
      </w:r>
      <w:r>
        <w:rPr>
          <w:rFonts w:hint="eastAsia"/>
          <w:b/>
          <w:color w:val="000000" w:themeColor="text1"/>
          <w:szCs w:val="21"/>
          <w:highlight w:val="none"/>
        </w:rPr>
        <w:t>月</w:t>
      </w:r>
      <w:r>
        <w:rPr>
          <w:rFonts w:hint="eastAsia"/>
          <w:b/>
          <w:color w:val="000000" w:themeColor="text1"/>
          <w:szCs w:val="21"/>
          <w:highlight w:val="none"/>
          <w:lang w:val="en-US" w:eastAsia="zh-CN"/>
        </w:rPr>
        <w:t xml:space="preserve"> 3 </w:t>
      </w:r>
      <w:r>
        <w:rPr>
          <w:rFonts w:hint="eastAsia"/>
          <w:b/>
          <w:color w:val="000000" w:themeColor="text1"/>
          <w:szCs w:val="21"/>
          <w:highlight w:val="none"/>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ind w:left="-1" w:leftChars="-337" w:hanging="707" w:hangingChars="271"/>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590A3E"/>
    <w:rsid w:val="36B230E3"/>
    <w:rsid w:val="5D0336B5"/>
    <w:rsid w:val="715C6346"/>
    <w:rsid w:val="74241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86</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2021-03-01T06:19:43Z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