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0118-2021-EO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四川省浪樱照明工程有限公司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T45001-2020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四川省浪樱照明工程有限公司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成都市武侯区武侯新城管委会武青南路 51 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FF0000"/>
                <w:sz w:val="20"/>
                <w:szCs w:val="20"/>
              </w:rPr>
              <w:t>成都市武侯区武侯新城管委会武青南路 51 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张格</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E：灯杆、灯具、公路交通设施（道 路路灯、指示牌、防护栏）、高低压配电系统、路 灯智能控制系统的销售所涉及场所的相关环境管理活动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O：灯杆、灯具、公路交通设施（道 路路灯、指示牌、防护栏）、高低压配电系统、路 灯智能控制系统的销售所涉及场所的相关职业健康安全管理活动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hint="default" w:ascii="宋体" w:eastAsia="宋体"/>
          <w:b/>
          <w:color w:val="000000"/>
          <w:sz w:val="20"/>
          <w:szCs w:val="20"/>
          <w:lang w:val="en-US" w:eastAsia="zh-CN"/>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bookmarkStart w:id="24" w:name="_GoBack"/>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ascii="宋体" w:hAnsi="宋体"/>
          <w:b/>
          <w:color w:val="000000"/>
          <w:spacing w:val="-4"/>
          <w:sz w:val="20"/>
          <w:szCs w:val="20"/>
        </w:rPr>
      </w:pPr>
      <w:r>
        <w:rPr>
          <w:rFonts w:hint="eastAsia" w:ascii="宋体" w:hAnsi="宋体"/>
          <w:b/>
          <w:color w:val="000000"/>
          <w:sz w:val="20"/>
          <w:szCs w:val="20"/>
        </w:rPr>
        <w:t>部门：</w:t>
      </w:r>
      <w:r>
        <w:rPr>
          <w:rFonts w:hint="eastAsia" w:ascii="宋体" w:hAnsi="宋体"/>
          <w:b/>
          <w:color w:val="000000"/>
          <w:spacing w:val="-4"/>
          <w:sz w:val="20"/>
          <w:szCs w:val="20"/>
          <w:lang w:eastAsia="zh-CN"/>
        </w:rPr>
        <w:t>管理层、市场部、总经办</w:t>
      </w:r>
      <w:r>
        <w:rPr>
          <w:rFonts w:hint="eastAsia" w:ascii="宋体" w:hAnsi="宋体"/>
          <w:b/>
          <w:color w:val="000000"/>
          <w:spacing w:val="-4"/>
          <w:sz w:val="20"/>
          <w:szCs w:val="20"/>
        </w:rPr>
        <w:t>。</w:t>
      </w:r>
    </w:p>
    <w:p>
      <w:pPr>
        <w:spacing w:line="300" w:lineRule="auto"/>
        <w:ind w:firstLine="258" w:firstLineChars="134"/>
        <w:rPr>
          <w:rFonts w:ascii="宋体" w:hAnsi="宋体"/>
          <w:b/>
          <w:color w:val="000000"/>
          <w:spacing w:val="-4"/>
          <w:sz w:val="20"/>
          <w:szCs w:val="20"/>
        </w:rPr>
      </w:pPr>
      <w:r>
        <w:rPr>
          <w:rFonts w:hint="eastAsia" w:ascii="宋体" w:hAnsi="宋体"/>
          <w:b/>
          <w:color w:val="000000"/>
          <w:spacing w:val="-4"/>
          <w:sz w:val="20"/>
          <w:szCs w:val="20"/>
        </w:rPr>
        <w:t>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现场审核</w:t>
      </w:r>
      <w:r>
        <w:rPr>
          <w:rFonts w:hint="eastAsia" w:ascii="宋体" w:hAnsi="宋体"/>
          <w:b/>
          <w:color w:val="000000"/>
          <w:sz w:val="20"/>
          <w:szCs w:val="20"/>
        </w:rPr>
        <w:t>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rFonts w:ascii="宋体"/>
                <w:b/>
                <w:color w:val="000000"/>
                <w:sz w:val="20"/>
                <w:szCs w:val="20"/>
              </w:rPr>
            </w:pPr>
            <w:r>
              <w:rPr>
                <w:rFonts w:hint="eastAsia" w:ascii="宋体" w:hAnsi="宋体"/>
                <w:b/>
                <w:color w:val="000000"/>
                <w:sz w:val="20"/>
                <w:szCs w:val="20"/>
              </w:rPr>
              <w:t>服务：</w:t>
            </w:r>
            <w:r>
              <w:rPr>
                <w:rFonts w:hint="eastAsia" w:ascii="宋体" w:hAnsi="宋体"/>
                <w:szCs w:val="21"/>
                <w:lang w:eastAsia="zh-CN"/>
              </w:rPr>
              <w:t>灯杆、灯具、公路交通设施（道 路路灯、指示牌、防护栏）、高低压配电系统、路 灯智能控制系统</w:t>
            </w:r>
            <w:r>
              <w:rPr>
                <w:rFonts w:hint="eastAsia" w:ascii="宋体" w:hAnsi="宋体"/>
                <w:szCs w:val="21"/>
                <w:lang w:val="en-US" w:eastAsia="zh-CN"/>
              </w:rPr>
              <w:t>的</w:t>
            </w:r>
            <w:r>
              <w:rPr>
                <w:rFonts w:hint="eastAsia" w:ascii="宋体" w:hAnsi="宋体"/>
                <w:szCs w:val="2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管理层、市场部、总经办</w:t>
            </w:r>
            <w:r>
              <w:rPr>
                <w:rFonts w:hint="eastAsia" w:ascii="宋体" w:hAnsi="宋体"/>
                <w:b/>
                <w:color w:val="000000"/>
                <w:sz w:val="20"/>
                <w:szCs w:val="20"/>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总经办</w:t>
            </w:r>
          </w:p>
          <w:p>
            <w:pPr>
              <w:tabs>
                <w:tab w:val="left" w:pos="360"/>
              </w:tabs>
              <w:spacing w:beforeLines="50"/>
              <w:ind w:left="357" w:hanging="357"/>
              <w:rPr>
                <w:rFonts w:hint="default" w:ascii="宋体"/>
                <w:b/>
                <w:color w:val="000000"/>
                <w:sz w:val="20"/>
                <w:szCs w:val="20"/>
                <w:lang w:val="en-US"/>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总经办</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总经办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ascii="宋体"/>
                <w:color w:val="000000"/>
                <w:sz w:val="20"/>
                <w:szCs w:val="20"/>
              </w:rPr>
            </w:pPr>
            <w:r>
              <w:rPr>
                <w:rFonts w:hint="eastAsia" w:ascii="宋体" w:hAnsi="宋体"/>
                <w:color w:val="000000"/>
                <w:sz w:val="20"/>
                <w:szCs w:val="20"/>
              </w:rPr>
              <w:t>受审核方位于：</w:t>
            </w:r>
            <w:r>
              <w:rPr>
                <w:rFonts w:hint="eastAsia"/>
                <w:lang w:eastAsia="zh-CN"/>
              </w:rPr>
              <w:t>成都市武侯区武侯新城管委会武青南路 51号</w:t>
            </w:r>
            <w:r>
              <w:rPr>
                <w:rFonts w:hint="eastAsia"/>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自建办公用房□自建厂房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sz w:val="20"/>
                <w:szCs w:val="20"/>
              </w:rPr>
              <w:t>■</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20" w:lineRule="exact"/>
              <w:rPr>
                <w:rFonts w:ascii="宋体" w:hAnsi="宋体"/>
                <w:color w:val="000000"/>
                <w:szCs w:val="21"/>
              </w:rPr>
            </w:pPr>
            <w:r>
              <w:rPr>
                <w:rFonts w:hint="eastAsia" w:ascii="宋体" w:hAnsi="宋体"/>
                <w:szCs w:val="21"/>
              </w:rPr>
              <w:t>销售流程：</w:t>
            </w:r>
          </w:p>
          <w:p>
            <w:pPr>
              <w:spacing w:line="360" w:lineRule="auto"/>
              <w:rPr>
                <w:rFonts w:ascii="宋体" w:hAnsi="宋体"/>
                <w:szCs w:val="21"/>
              </w:rPr>
            </w:pPr>
            <w:r>
              <w:rPr>
                <w:rFonts w:hint="eastAsia" w:ascii="Times New Roman" w:hAnsi="Times New Roman" w:eastAsia="宋体" w:cs="Times New Roman"/>
                <w:szCs w:val="21"/>
              </w:rPr>
              <w:t>签订合同→产品采购→产品交付→款项回收→售后维护</w:t>
            </w:r>
            <w:r>
              <w:rPr>
                <w:rFonts w:hint="eastAsia" w:ascii="宋体" w:hAnsi="宋体" w:cs="宋体"/>
                <w:szCs w:val="21"/>
              </w:rPr>
              <w:t>。</w:t>
            </w:r>
          </w:p>
          <w:p>
            <w:pPr>
              <w:rPr>
                <w:rFonts w:ascii="宋体" w:hAnsi="宋体"/>
                <w:szCs w:val="21"/>
              </w:rPr>
            </w:pPr>
            <w:r>
              <w:rPr>
                <w:rFonts w:hint="eastAsia" w:ascii="宋体" w:hAnsi="宋体"/>
                <w:szCs w:val="21"/>
              </w:rPr>
              <w:t>销售为关键过程。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电脑和办公设备等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监视和测量设备（请简述主要监视和测量设备）：生产地配置有：</w:t>
            </w:r>
            <w:r>
              <w:rPr>
                <w:rFonts w:hint="eastAsia" w:ascii="宋体"/>
                <w:color w:val="000000"/>
                <w:sz w:val="20"/>
                <w:szCs w:val="20"/>
                <w:lang w:val="en-US" w:eastAsia="zh-CN"/>
              </w:rPr>
              <w:t>钢卷</w:t>
            </w:r>
            <w:r>
              <w:rPr>
                <w:rFonts w:hint="eastAsia" w:ascii="宋体"/>
                <w:color w:val="000000"/>
                <w:sz w:val="20"/>
                <w:szCs w:val="20"/>
              </w:rPr>
              <w:t>尺、</w:t>
            </w:r>
            <w:r>
              <w:rPr>
                <w:rFonts w:hint="eastAsia" w:ascii="宋体"/>
                <w:color w:val="000000"/>
                <w:sz w:val="20"/>
                <w:szCs w:val="20"/>
                <w:lang w:val="en-US" w:eastAsia="zh-CN"/>
              </w:rPr>
              <w:t>钢</w:t>
            </w:r>
            <w:r>
              <w:rPr>
                <w:rFonts w:hint="eastAsia" w:ascii="宋体"/>
                <w:color w:val="000000"/>
                <w:sz w:val="20"/>
                <w:szCs w:val="20"/>
              </w:rPr>
              <w:t>直尺等检测设备。客户按约定要求进行验收。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szCs w:val="21"/>
              </w:rPr>
              <w:t>1</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2"/>
                <w:highlight w:val="none"/>
                <w:lang w:val="en-US" w:eastAsia="zh-CN"/>
              </w:rPr>
              <w:t>潜在火灾；</w:t>
            </w:r>
            <w:r>
              <w:rPr>
                <w:rFonts w:hint="eastAsia" w:cs="Times New Roman"/>
                <w:szCs w:val="22"/>
                <w:highlight w:val="none"/>
                <w:lang w:val="en-US" w:eastAsia="zh-CN"/>
              </w:rPr>
              <w:t>2</w:t>
            </w:r>
            <w:r>
              <w:rPr>
                <w:rFonts w:hint="eastAsia" w:ascii="Times New Roman" w:hAnsi="Times New Roman" w:eastAsia="宋体" w:cs="Times New Roman"/>
                <w:szCs w:val="22"/>
                <w:highlight w:val="none"/>
                <w:lang w:val="en-US" w:eastAsia="zh-CN"/>
              </w:rPr>
              <w:t>）固废排放</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highlight w:val="none"/>
                <w:lang w:val="en-US" w:eastAsia="zh-CN"/>
              </w:rPr>
              <w:t>火灾；2）触电</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400" w:lineRule="exact"/>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lang w:eastAsia="zh-CN"/>
              </w:rPr>
              <w:t>管理层、市场部、总经办</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szCs w:val="21"/>
                <w:lang w:eastAsia="zh-CN"/>
              </w:rPr>
              <w:t>管理层、市场部、总经办</w:t>
            </w:r>
          </w:p>
          <w:p>
            <w:pPr>
              <w:spacing w:line="260" w:lineRule="exact"/>
              <w:rPr>
                <w:rFonts w:ascii="宋体"/>
                <w:b/>
                <w:color w:val="000000"/>
                <w:sz w:val="20"/>
                <w:szCs w:val="20"/>
              </w:rPr>
            </w:pPr>
            <w:r>
              <w:rPr>
                <w:rFonts w:hint="eastAsia" w:ascii="宋体" w:hAnsi="宋体"/>
                <w:b/>
                <w:color w:val="000000"/>
                <w:sz w:val="20"/>
                <w:szCs w:val="20"/>
              </w:rPr>
              <w:t>重点审核场所：办公场所。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2020年12月9日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张格</w:t>
            </w:r>
            <w:r>
              <w:rPr>
                <w:rFonts w:hint="eastAsia"/>
                <w:szCs w:val="21"/>
              </w:rPr>
              <w:t>（组长）、</w:t>
            </w:r>
            <w:r>
              <w:rPr>
                <w:rFonts w:hint="eastAsia"/>
                <w:szCs w:val="21"/>
                <w:lang w:eastAsia="zh-CN"/>
              </w:rPr>
              <w:t>王爽</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sz w:val="20"/>
                <w:szCs w:val="20"/>
              </w:rPr>
            </w:pPr>
            <w:r>
              <w:rPr>
                <w:rFonts w:hint="eastAsia" w:ascii="宋体" w:hAnsi="宋体"/>
                <w:b/>
                <w:sz w:val="20"/>
                <w:szCs w:val="20"/>
              </w:rPr>
              <w:t>了解管理评审的策划</w:t>
            </w:r>
            <w:r>
              <w:rPr>
                <w:rFonts w:ascii="宋体" w:hAnsi="宋体"/>
                <w:b/>
                <w:sz w:val="20"/>
                <w:szCs w:val="20"/>
              </w:rPr>
              <w:t xml:space="preserve">; </w:t>
            </w:r>
            <w:r>
              <w:rPr>
                <w:rFonts w:hint="eastAsia"/>
                <w:szCs w:val="21"/>
              </w:rPr>
              <w:t>建立有《管理评审控制程序》，于2020年</w:t>
            </w:r>
            <w:r>
              <w:rPr>
                <w:rFonts w:hint="eastAsia"/>
                <w:szCs w:val="21"/>
                <w:lang w:val="en-US" w:eastAsia="zh-CN"/>
              </w:rPr>
              <w:t>12</w:t>
            </w:r>
            <w:r>
              <w:rPr>
                <w:rFonts w:hint="eastAsia"/>
                <w:szCs w:val="21"/>
              </w:rPr>
              <w:t>月</w:t>
            </w:r>
            <w:r>
              <w:rPr>
                <w:rFonts w:hint="eastAsia"/>
                <w:szCs w:val="21"/>
                <w:lang w:val="en-US" w:eastAsia="zh-CN"/>
              </w:rPr>
              <w:t>29</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EMS: </w:t>
      </w:r>
      <w:r>
        <w:rPr>
          <w:rFonts w:hint="eastAsia" w:ascii="宋体" w:hAnsi="宋体"/>
          <w:b/>
          <w:color w:val="000000"/>
          <w:sz w:val="20"/>
          <w:szCs w:val="20"/>
          <w:lang w:eastAsia="zh-CN"/>
        </w:rPr>
        <w:t>灯杆、灯具、公路交通设施（道 路路灯、指示牌、防护栏）、高低压配电系统、路 灯智能控制系统</w:t>
      </w:r>
      <w:r>
        <w:rPr>
          <w:rFonts w:hint="eastAsia" w:ascii="宋体" w:hAnsi="宋体"/>
          <w:b/>
          <w:color w:val="000000"/>
          <w:sz w:val="20"/>
          <w:szCs w:val="20"/>
        </w:rPr>
        <w:t>销售所涉及的相关环境管理活动。 </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OHSMS: </w:t>
      </w:r>
      <w:r>
        <w:rPr>
          <w:rFonts w:hint="eastAsia" w:ascii="宋体" w:hAnsi="宋体"/>
          <w:b/>
          <w:color w:val="000000"/>
          <w:sz w:val="20"/>
          <w:szCs w:val="20"/>
          <w:lang w:eastAsia="zh-CN"/>
        </w:rPr>
        <w:t>灯杆、灯具、公路交通设施（道 路路灯、指示牌、防护栏）、高低压配电系统、路 灯智能控制系统</w:t>
      </w:r>
      <w:r>
        <w:rPr>
          <w:rFonts w:hint="eastAsia" w:ascii="宋体" w:hAnsi="宋体"/>
          <w:b/>
          <w:color w:val="000000"/>
          <w:sz w:val="20"/>
          <w:szCs w:val="20"/>
        </w:rPr>
        <w:t>销售所涉及的相关职业健康安全管理活动。</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7456" behindDoc="0" locked="0" layoutInCell="1" allowOverlap="1">
            <wp:simplePos x="0" y="0"/>
            <wp:positionH relativeFrom="column">
              <wp:posOffset>1927225</wp:posOffset>
            </wp:positionH>
            <wp:positionV relativeFrom="paragraph">
              <wp:posOffset>262890</wp:posOffset>
            </wp:positionV>
            <wp:extent cx="757555" cy="419735"/>
            <wp:effectExtent l="0" t="0" r="4445" b="1206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75648" behindDoc="0" locked="0" layoutInCell="1" allowOverlap="1">
            <wp:simplePos x="0" y="0"/>
            <wp:positionH relativeFrom="column">
              <wp:posOffset>1901190</wp:posOffset>
            </wp:positionH>
            <wp:positionV relativeFrom="paragraph">
              <wp:posOffset>106045</wp:posOffset>
            </wp:positionV>
            <wp:extent cx="722630" cy="330200"/>
            <wp:effectExtent l="0" t="0" r="1270" b="0"/>
            <wp:wrapNone/>
            <wp:docPr id="5" name="图片 5"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w:t>
      </w:r>
      <w:r>
        <w:rPr>
          <w:rFonts w:hint="eastAsia" w:ascii="宋体" w:hAnsi="宋体"/>
          <w:b/>
          <w:color w:val="000000"/>
          <w:lang w:val="en-US" w:eastAsia="zh-CN"/>
        </w:rPr>
        <w:t>1</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w:t>
      </w:r>
      <w:r>
        <w:rPr>
          <w:rFonts w:hint="eastAsia" w:ascii="宋体" w:hAnsi="宋体"/>
          <w:b/>
          <w:color w:val="000000"/>
          <w:lang w:val="en-US" w:eastAsia="zh-CN"/>
        </w:rPr>
        <w:t>27</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lang w:eastAsia="zh-CN"/>
        </w:rPr>
      </w:pPr>
      <w:r>
        <w:rPr>
          <w:rFonts w:hint="eastAsia" w:eastAsia="隶书"/>
          <w:color w:val="000000"/>
          <w:sz w:val="28"/>
          <w:szCs w:val="28"/>
        </w:rPr>
        <w:t>受审核方：</w:t>
      </w:r>
      <w:r>
        <w:rPr>
          <w:rFonts w:hint="eastAsia" w:eastAsia="隶书"/>
          <w:b/>
          <w:color w:val="000000"/>
          <w:sz w:val="24"/>
          <w:szCs w:val="24"/>
          <w:lang w:eastAsia="zh-CN"/>
        </w:rPr>
        <w:t>四川省浪樱照明工程有限公司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sz w:val="22"/>
                <w:szCs w:val="22"/>
              </w:rPr>
              <w:drawing>
                <wp:anchor distT="0" distB="0" distL="114300" distR="114300" simplePos="0" relativeHeight="251677696" behindDoc="0" locked="0" layoutInCell="1" allowOverlap="1">
                  <wp:simplePos x="0" y="0"/>
                  <wp:positionH relativeFrom="column">
                    <wp:posOffset>657225</wp:posOffset>
                  </wp:positionH>
                  <wp:positionV relativeFrom="paragraph">
                    <wp:posOffset>55245</wp:posOffset>
                  </wp:positionV>
                  <wp:extent cx="757555" cy="419735"/>
                  <wp:effectExtent l="0" t="0" r="4445" b="12065"/>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rFonts w:hint="eastAsia" w:eastAsia="宋体"/>
                <w:b/>
                <w:color w:val="000000"/>
                <w:sz w:val="22"/>
                <w:szCs w:val="22"/>
                <w:lang w:eastAsia="zh-CN"/>
              </w:rPr>
            </w:pPr>
            <w:r>
              <w:rPr>
                <w:rFonts w:hint="eastAsia"/>
                <w:b/>
                <w:color w:val="000000"/>
                <w:sz w:val="22"/>
                <w:szCs w:val="22"/>
              </w:rPr>
              <w:t xml:space="preserve">日期：  </w:t>
            </w:r>
            <w:r>
              <w:rPr>
                <w:rFonts w:hint="eastAsia"/>
                <w:b/>
                <w:color w:val="000000"/>
                <w:sz w:val="22"/>
                <w:szCs w:val="22"/>
                <w:lang w:eastAsia="zh-CN"/>
              </w:rPr>
              <w:t>2021年2月27日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val="en-US" w:eastAsia="zh-CN"/>
              </w:rPr>
              <w:t xml:space="preserve">      </w:t>
            </w:r>
            <w:r>
              <w:rPr>
                <w:rFonts w:hint="eastAsia"/>
                <w:b/>
                <w:color w:val="000000"/>
                <w:sz w:val="22"/>
                <w:szCs w:val="22"/>
              </w:rPr>
              <w:t xml:space="preserve">            日期：  </w:t>
            </w:r>
            <w:r>
              <w:rPr>
                <w:rFonts w:hint="eastAsia"/>
                <w:b/>
                <w:color w:val="000000"/>
                <w:sz w:val="22"/>
                <w:szCs w:val="22"/>
                <w:lang w:eastAsia="zh-CN"/>
              </w:rPr>
              <w:t>2021年2月27日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sz w:val="22"/>
                <w:szCs w:val="22"/>
              </w:rPr>
              <w:drawing>
                <wp:anchor distT="0" distB="0" distL="114300" distR="114300" simplePos="0" relativeHeight="251679744" behindDoc="0" locked="0" layoutInCell="1" allowOverlap="1">
                  <wp:simplePos x="0" y="0"/>
                  <wp:positionH relativeFrom="column">
                    <wp:posOffset>654050</wp:posOffset>
                  </wp:positionH>
                  <wp:positionV relativeFrom="paragraph">
                    <wp:posOffset>215900</wp:posOffset>
                  </wp:positionV>
                  <wp:extent cx="757555" cy="419735"/>
                  <wp:effectExtent l="0" t="0" r="4445" b="12065"/>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rFonts w:hint="eastAsia"/>
                <w:b/>
                <w:color w:val="000000"/>
                <w:sz w:val="22"/>
                <w:szCs w:val="22"/>
              </w:rPr>
              <w:t xml:space="preserve">验证人：                日期： </w:t>
            </w:r>
            <w:r>
              <w:rPr>
                <w:rFonts w:hint="eastAsia"/>
                <w:b/>
                <w:color w:val="000000"/>
                <w:sz w:val="22"/>
                <w:szCs w:val="22"/>
                <w:lang w:eastAsia="zh-CN"/>
              </w:rPr>
              <w:t>2021年2月27日</w:t>
            </w:r>
          </w:p>
          <w:p>
            <w:pPr>
              <w:tabs>
                <w:tab w:val="left" w:pos="8740"/>
              </w:tabs>
              <w:spacing w:line="360" w:lineRule="exact"/>
              <w:rPr>
                <w:b/>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FA1D9E"/>
    <w:rsid w:val="454B0EB6"/>
    <w:rsid w:val="4D1A157C"/>
    <w:rsid w:val="51507292"/>
    <w:rsid w:val="650C312D"/>
    <w:rsid w:val="70DD096A"/>
    <w:rsid w:val="751E4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2021-03-15T00:42:37Z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