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54"/>
        <w:gridCol w:w="887"/>
        <w:gridCol w:w="213"/>
        <w:gridCol w:w="1488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四川省浪樱照明工程有限公司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0118-2021-EO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张毅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E：灯杆、灯具、公路交通设施（道 路路灯、指示牌、防护栏）、高低压配电系统、路 灯智能控制系统的销售所涉及场所的相关环境管理活动</w:t>
            </w:r>
          </w:p>
          <w:p>
            <w:r>
              <w:t>O：灯杆、灯具、公路交通设施（道 路路灯、指示牌、防护栏）、高低压配电系统、路 灯智能控制系统的销售所涉及场所的相关职业健康安全管理活动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2021年02月27日 上午至2021年02月27日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55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0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5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2021年02月2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2021年02月2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附表：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819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8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27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8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</w:tc>
        <w:tc>
          <w:tcPr>
            <w:tcW w:w="68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1、通过对受审核方的管理、生产现场巡视和观察，从总体上初步判断受审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</w:tc>
        <w:tc>
          <w:tcPr>
            <w:tcW w:w="104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81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9、确定管理层二阶段审核的重点。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10、确认体系策划部门是否按要求建立、实施、保持并持续改进了体系。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、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12、适用法律法规、技术标准识别的充分性，收集合规性的证据。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13、核实、确认受审核方各相关部门提供的相关信息（重点是资质、资格、产品范围、人数、规模、场所等）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14.对生产设备、环保设备、特种设备及监视测量设备的现场巡视了解和确认。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15.了解环境因素和危险源的识别、评价等控制情况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16.了解对合规性及应急预案等情况的执行。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042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819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4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4377E"/>
    <w:rsid w:val="0FFE680A"/>
    <w:rsid w:val="1D4251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2021-02-28T10:59:10Z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