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智道弘德文化体育发展（北京）有限公司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曹欣</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北斗时空体育科技（北京）有限公司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F23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2021-02-26T15:25:42Z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