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智道弘德文化体育发展（北京）有限公司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0125-2021-QEO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pacing w:line="280" w:lineRule="exact"/>
              <w:rPr>
                <w:rFonts w:hint="eastAsia"/>
                <w:sz w:val="22"/>
                <w:szCs w:val="22"/>
              </w:rPr>
            </w:pPr>
            <w:r>
              <w:rPr>
                <w:rFonts w:hint="eastAsia"/>
                <w:sz w:val="22"/>
                <w:szCs w:val="22"/>
              </w:rPr>
              <w:t>曹欣</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tcBorders/>
            <w:vAlign w:val="center"/>
          </w:tcPr>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ISC-JSZJ-253</w:t>
            </w:r>
          </w:p>
          <w:p>
            <w:pPr>
              <w:spacing w:line="280" w:lineRule="exact"/>
              <w:rPr>
                <w:rFonts w:hint="eastAsia"/>
                <w:sz w:val="22"/>
                <w:szCs w:val="22"/>
              </w:rPr>
            </w:pPr>
            <w:r>
              <w:rPr>
                <w:rFonts w:hint="eastAsia"/>
                <w:sz w:val="22"/>
                <w:szCs w:val="22"/>
              </w:rPr>
              <w:t>北斗时空体育科技（北京）有限公司</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F23565"/>
    <w:rsid w:val="7DD02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2021-02-27T06:45:04Z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