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丽水市新时代教育印刷有限公司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0110-2021-QEO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华丹儿</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ISC-JSZJ-252</w:t>
            </w:r>
          </w:p>
          <w:p w:rsidR="009F508A">
            <w:pPr>
              <w:snapToGrid w:val="0"/>
              <w:spacing w:line="320" w:lineRule="exact"/>
              <w:ind w:left="1309"/>
              <w:rPr>
                <w:sz w:val="22"/>
                <w:szCs w:val="22"/>
                <w:highlight w:val="yellow"/>
              </w:rPr>
            </w:pPr>
            <w:r>
              <w:rPr>
                <w:sz w:val="22"/>
                <w:szCs w:val="22"/>
                <w:highlight w:val="yellow"/>
              </w:rPr>
              <w:t>杭州华星印务股份有限公司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