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0116-2021-E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任丘市红河邮电器材有限公司</w:t>
      </w:r>
      <w:bookmarkEnd w:id="1"/>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Renqiu Honghe post and telecommunication equipment Co., Ltd</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任丘市麻家坞镇麻家坞工业区</w:t>
      </w:r>
      <w:bookmarkEnd w:id="3"/>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062554</w:t>
      </w:r>
      <w:bookmarkEnd w:id="4"/>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(英文)：Majiawu Industrial Zone, Majiawu Town, Renqiu City</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pacing w:val="-2"/>
          <w:sz w:val="22"/>
          <w:szCs w:val="22"/>
          <w:lang w:eastAsia="zh-CN"/>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任丘市麻家坞镇麻家坞工业区</w:t>
      </w:r>
      <w:bookmarkEnd w:id="5"/>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062554</w:t>
      </w:r>
      <w:bookmarkEnd w:id="6"/>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(英文)：Majiawu Industrial Zone, Majiawu Town, Renqiu City</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91130982748499032H</w:t>
      </w:r>
      <w:bookmarkEnd w:id="7"/>
      <w:r>
        <w:rPr>
          <w:rFonts w:hint="eastAsia"/>
          <w:b w:val="0"/>
          <w:bCs/>
          <w:color w:val="000000" w:themeColor="text1"/>
          <w:sz w:val="22"/>
          <w:szCs w:val="22"/>
          <w:lang w:eastAsia="zh-CN"/>
        </w:rPr>
        <w:t>，</w:t>
      </w:r>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13333270991</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郭宁波</w:t>
      </w:r>
      <w:bookmarkEnd w:id="10"/>
      <w:r>
        <w:rPr>
          <w:rFonts w:hint="eastAsia"/>
          <w:b w:val="0"/>
          <w:bCs/>
          <w:color w:val="000000" w:themeColor="text1"/>
          <w:sz w:val="22"/>
          <w:szCs w:val="22"/>
          <w:lang w:eastAsia="zh-CN"/>
        </w:rPr>
        <w:t>，</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马秋花</w:t>
      </w:r>
      <w:bookmarkEnd w:id="11"/>
      <w:r>
        <w:rPr>
          <w:rFonts w:hint="eastAsia"/>
          <w:b w:val="0"/>
          <w:bCs/>
          <w:color w:val="000000" w:themeColor="text1"/>
          <w:sz w:val="22"/>
          <w:szCs w:val="22"/>
          <w:lang w:eastAsia="zh-CN"/>
        </w:rPr>
        <w:t>，</w:t>
      </w:r>
      <w:r>
        <w:rPr>
          <w:rFonts w:hint="eastAsia"/>
          <w:b w:val="0"/>
          <w:bCs/>
          <w:color w:val="000000" w:themeColor="text1"/>
          <w:sz w:val="22"/>
          <w:szCs w:val="22"/>
        </w:rPr>
        <w:t>组织人数：</w:t>
      </w:r>
      <w:bookmarkStart w:id="12" w:name="企业人数"/>
      <w:r>
        <w:rPr>
          <w:b w:val="0"/>
          <w:bCs/>
          <w:color w:val="000000" w:themeColor="text1"/>
          <w:sz w:val="22"/>
          <w:szCs w:val="22"/>
        </w:rPr>
        <w:t>25</w:t>
      </w:r>
      <w:bookmarkEnd w:id="12"/>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GB/T 24001-2016/ISO14001:2015</w:t>
      </w:r>
      <w:bookmarkEnd w:id="13"/>
      <w:r>
        <w:rPr>
          <w:rFonts w:hint="eastAsia" w:ascii="宋体" w:hAnsi="宋体"/>
          <w:b w:val="0"/>
          <w:bCs/>
          <w:color w:val="000000" w:themeColor="text1"/>
          <w:sz w:val="22"/>
          <w:szCs w:val="22"/>
          <w:u w:val="single"/>
          <w:lang w:eastAsia="zh-CN"/>
        </w:rPr>
        <w:t>，</w:t>
      </w: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lang w:val="en-US" w:eastAsia="zh-CN"/>
        </w:rPr>
      </w:pPr>
      <w:bookmarkStart w:id="15" w:name="审核范围"/>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r>
        <w:rPr>
          <w:rFonts w:hint="eastAsia"/>
          <w:b w:val="0"/>
          <w:bCs/>
          <w:color w:val="000000" w:themeColor="text1"/>
          <w:sz w:val="22"/>
          <w:szCs w:val="22"/>
          <w:lang w:val="en-US" w:eastAsia="zh-CN"/>
        </w:rPr>
        <w:t>范围：</w:t>
      </w:r>
      <w:r>
        <w:rPr>
          <w:rFonts w:hint="eastAsia"/>
          <w:b w:val="0"/>
          <w:bCs/>
          <w:color w:val="000000" w:themeColor="text1"/>
          <w:sz w:val="22"/>
          <w:szCs w:val="22"/>
        </w:rPr>
        <w:t>线路铁件、钢绞线、机箱机柜的生产所涉及场所的相关环境管理活动</w:t>
      </w:r>
      <w:bookmarkEnd w:id="15"/>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lang w:eastAsia="zh-CN"/>
        </w:rPr>
        <w:t>☑</w:t>
      </w:r>
      <w:r>
        <w:rPr>
          <w:rFonts w:hint="eastAsia"/>
          <w:b w:val="0"/>
          <w:bCs/>
          <w:color w:val="000000" w:themeColor="text1"/>
          <w:sz w:val="22"/>
          <w:szCs w:val="22"/>
        </w:rPr>
        <w:t>EMS（英文）：</w:t>
      </w:r>
      <w:r>
        <w:rPr>
          <w:rFonts w:hint="eastAsia"/>
          <w:b w:val="0"/>
          <w:bCs/>
          <w:color w:val="000000" w:themeColor="text1"/>
          <w:sz w:val="22"/>
          <w:szCs w:val="22"/>
          <w:lang w:val="en-US" w:eastAsia="zh-CN"/>
        </w:rPr>
        <w:t xml:space="preserve">The </w:t>
      </w:r>
      <w:r>
        <w:rPr>
          <w:rFonts w:hint="eastAsia"/>
          <w:b w:val="0"/>
          <w:bCs/>
          <w:color w:val="000000" w:themeColor="text1"/>
          <w:sz w:val="22"/>
          <w:szCs w:val="22"/>
        </w:rPr>
        <w:t>Relevant environmental management activities of places involved in the production of line iron parts, steel strand, chassis and cabinet</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r>
        <w:rPr>
          <w:rFonts w:hint="eastAsia"/>
          <w:b w:val="0"/>
          <w:bCs/>
          <w:color w:val="000000" w:themeColor="text1"/>
          <w:sz w:val="22"/>
          <w:szCs w:val="22"/>
        </w:rPr>
        <w:t>证书类型：</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 xml:space="preserve">纸质   </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电子版（在</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打</w:t>
      </w:r>
      <w:r>
        <w:rPr>
          <w:rFonts w:ascii="Symbol" w:hAnsi="Symbol"/>
          <w:b w:val="0"/>
          <w:bCs/>
          <w:color w:val="000000" w:themeColor="text1"/>
          <w:sz w:val="22"/>
          <w:szCs w:val="22"/>
        </w:rPr>
        <w:sym w:font="Symbol" w:char="F0D6"/>
      </w:r>
      <w:r>
        <w:rPr>
          <w:rFonts w:hint="eastAsia"/>
          <w:b w:val="0"/>
          <w:bCs/>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r>
        <w:rPr>
          <w:rFonts w:hint="eastAsia"/>
          <w:b w:val="0"/>
          <w:bCs/>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r>
        <w:rPr>
          <w:rFonts w:hint="eastAsia" w:ascii="宋体" w:hAnsi="宋体"/>
          <w:b/>
          <w:kern w:val="0"/>
          <w:sz w:val="24"/>
        </w:rPr>
        <w:drawing>
          <wp:anchor distT="0" distB="0" distL="114300" distR="114300" simplePos="0" relativeHeight="251658240" behindDoc="0" locked="0" layoutInCell="1" allowOverlap="1">
            <wp:simplePos x="0" y="0"/>
            <wp:positionH relativeFrom="column">
              <wp:posOffset>3800475</wp:posOffset>
            </wp:positionH>
            <wp:positionV relativeFrom="paragraph">
              <wp:posOffset>161925</wp:posOffset>
            </wp:positionV>
            <wp:extent cx="828040" cy="39878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5"/>
                    <a:stretch>
                      <a:fillRect/>
                    </a:stretch>
                  </pic:blipFill>
                  <pic:spPr>
                    <a:xfrm>
                      <a:off x="0" y="0"/>
                      <a:ext cx="828040" cy="398780"/>
                    </a:xfrm>
                    <a:prstGeom prst="rect">
                      <a:avLst/>
                    </a:prstGeom>
                    <a:noFill/>
                    <a:ln>
                      <a:noFill/>
                    </a:ln>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                     组长确认：</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日期：</w:t>
      </w:r>
      <w:r>
        <w:rPr>
          <w:rFonts w:hint="eastAsia"/>
          <w:b w:val="0"/>
          <w:bCs/>
          <w:color w:val="000000" w:themeColor="text1"/>
          <w:sz w:val="22"/>
          <w:szCs w:val="22"/>
          <w:lang w:val="en-US" w:eastAsia="zh-CN"/>
        </w:rPr>
        <w:t>2021.3.7</w:t>
      </w:r>
      <w:r>
        <w:rPr>
          <w:rFonts w:hint="eastAsia"/>
          <w:b w:val="0"/>
          <w:bCs/>
          <w:color w:val="000000" w:themeColor="text1"/>
          <w:sz w:val="22"/>
          <w:szCs w:val="22"/>
        </w:rPr>
        <w:t xml:space="preserve">                               日期：</w:t>
      </w:r>
      <w:r>
        <w:rPr>
          <w:rFonts w:hint="eastAsia"/>
          <w:b w:val="0"/>
          <w:bCs/>
          <w:color w:val="000000" w:themeColor="text1"/>
          <w:sz w:val="22"/>
          <w:szCs w:val="22"/>
          <w:lang w:val="en-US" w:eastAsia="zh-CN"/>
        </w:rPr>
        <w:t>2021.3.7</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p>
      <w:pPr>
        <w:pStyle w:val="2"/>
        <w:widowControl w:val="0"/>
        <w:numPr>
          <w:ilvl w:val="0"/>
          <w:numId w:val="0"/>
        </w:numPr>
        <w:snapToGrid w:val="0"/>
        <w:spacing w:line="0" w:lineRule="atLeast"/>
        <w:jc w:val="both"/>
        <w:rPr>
          <w:rFonts w:hint="eastAsia" w:ascii="宋体" w:hAnsi="宋体"/>
          <w:b/>
          <w:color w:val="000000" w:themeColor="text1"/>
          <w:sz w:val="18"/>
          <w:szCs w:val="18"/>
        </w:rPr>
      </w:pPr>
    </w:p>
    <w:p>
      <w:pPr>
        <w:pStyle w:val="2"/>
        <w:widowControl w:val="0"/>
        <w:numPr>
          <w:ilvl w:val="0"/>
          <w:numId w:val="0"/>
        </w:numPr>
        <w:snapToGrid w:val="0"/>
        <w:spacing w:line="0" w:lineRule="atLeast"/>
        <w:jc w:val="both"/>
        <w:rPr>
          <w:rFonts w:hint="eastAsia" w:ascii="宋体" w:hAnsi="宋体"/>
          <w:b/>
          <w:color w:val="000000" w:themeColor="text1"/>
          <w:sz w:val="18"/>
          <w:szCs w:val="18"/>
        </w:rPr>
      </w:pPr>
    </w:p>
    <w:p>
      <w:pPr>
        <w:pStyle w:val="2"/>
        <w:widowControl w:val="0"/>
        <w:numPr>
          <w:ilvl w:val="0"/>
          <w:numId w:val="0"/>
        </w:numPr>
        <w:snapToGrid w:val="0"/>
        <w:spacing w:line="0" w:lineRule="atLeast"/>
        <w:jc w:val="both"/>
        <w:rPr>
          <w:rFonts w:hint="eastAsia" w:ascii="宋体" w:hAnsi="宋体"/>
          <w:b/>
          <w:color w:val="000000" w:themeColor="text1"/>
          <w:sz w:val="18"/>
          <w:szCs w:val="18"/>
        </w:rPr>
      </w:pPr>
    </w:p>
    <w:p>
      <w:pPr>
        <w:pStyle w:val="2"/>
        <w:widowControl w:val="0"/>
        <w:numPr>
          <w:ilvl w:val="0"/>
          <w:numId w:val="0"/>
        </w:numPr>
        <w:snapToGrid w:val="0"/>
        <w:spacing w:line="0" w:lineRule="atLeast"/>
        <w:jc w:val="both"/>
        <w:rPr>
          <w:rFonts w:hint="eastAsia" w:ascii="宋体" w:hAnsi="宋体"/>
          <w:b/>
          <w:color w:val="000000" w:themeColor="text1"/>
          <w:sz w:val="18"/>
          <w:szCs w:val="18"/>
        </w:rPr>
      </w:pPr>
    </w:p>
    <w:p>
      <w:pPr>
        <w:pStyle w:val="2"/>
        <w:widowControl w:val="0"/>
        <w:numPr>
          <w:ilvl w:val="0"/>
          <w:numId w:val="0"/>
        </w:numPr>
        <w:snapToGrid w:val="0"/>
        <w:spacing w:line="0" w:lineRule="atLeast"/>
        <w:jc w:val="both"/>
        <w:rPr>
          <w:rFonts w:hint="eastAsia" w:ascii="宋体" w:hAnsi="宋体"/>
          <w:b/>
          <w:color w:val="000000" w:themeColor="text1"/>
          <w:sz w:val="18"/>
          <w:szCs w:val="18"/>
        </w:rPr>
      </w:pPr>
    </w:p>
    <w:p>
      <w:pPr>
        <w:pStyle w:val="2"/>
        <w:widowControl w:val="0"/>
        <w:numPr>
          <w:ilvl w:val="0"/>
          <w:numId w:val="0"/>
        </w:numPr>
        <w:snapToGrid w:val="0"/>
        <w:spacing w:line="0" w:lineRule="atLeast"/>
        <w:jc w:val="both"/>
        <w:rPr>
          <w:rFonts w:hint="eastAsia" w:ascii="宋体" w:hAnsi="宋体"/>
          <w:b/>
          <w:color w:val="000000" w:themeColor="text1"/>
          <w:sz w:val="18"/>
          <w:szCs w:val="18"/>
        </w:rPr>
      </w:pPr>
    </w:p>
    <w:p>
      <w:pPr>
        <w:pStyle w:val="2"/>
        <w:widowControl w:val="0"/>
        <w:numPr>
          <w:ilvl w:val="0"/>
          <w:numId w:val="0"/>
        </w:numPr>
        <w:snapToGrid w:val="0"/>
        <w:spacing w:line="0" w:lineRule="atLeast"/>
        <w:jc w:val="both"/>
        <w:rPr>
          <w:rFonts w:hint="eastAsia" w:ascii="宋体" w:hAnsi="宋体"/>
          <w:b/>
          <w:color w:val="000000" w:themeColor="text1"/>
          <w:sz w:val="18"/>
          <w:szCs w:val="18"/>
        </w:rPr>
      </w:pPr>
    </w:p>
    <w:p>
      <w:pPr>
        <w:pStyle w:val="2"/>
        <w:widowControl w:val="0"/>
        <w:numPr>
          <w:ilvl w:val="0"/>
          <w:numId w:val="0"/>
        </w:numPr>
        <w:snapToGrid w:val="0"/>
        <w:spacing w:line="0" w:lineRule="atLeast"/>
        <w:jc w:val="both"/>
        <w:rPr>
          <w:rFonts w:hint="eastAsia" w:ascii="宋体" w:hAnsi="宋体"/>
          <w:b/>
          <w:color w:val="000000" w:themeColor="text1"/>
          <w:sz w:val="18"/>
          <w:szCs w:val="18"/>
        </w:rPr>
      </w:pPr>
    </w:p>
    <w:p>
      <w:pPr>
        <w:pStyle w:val="2"/>
        <w:widowControl w:val="0"/>
        <w:numPr>
          <w:ilvl w:val="0"/>
          <w:numId w:val="0"/>
        </w:numPr>
        <w:snapToGrid w:val="0"/>
        <w:spacing w:line="0" w:lineRule="atLeast"/>
        <w:jc w:val="both"/>
        <w:rPr>
          <w:rFonts w:hint="eastAsia" w:ascii="宋体" w:hAnsi="宋体"/>
          <w:b/>
          <w:color w:val="000000" w:themeColor="text1"/>
          <w:sz w:val="18"/>
          <w:szCs w:val="18"/>
        </w:rPr>
      </w:pPr>
    </w:p>
    <w:p>
      <w:pPr>
        <w:pStyle w:val="2"/>
        <w:widowControl w:val="0"/>
        <w:numPr>
          <w:ilvl w:val="0"/>
          <w:numId w:val="0"/>
        </w:numPr>
        <w:snapToGrid w:val="0"/>
        <w:spacing w:line="0" w:lineRule="atLeast"/>
        <w:jc w:val="both"/>
        <w:rPr>
          <w:rFonts w:hint="eastAsia" w:ascii="宋体" w:hAnsi="宋体"/>
          <w:b/>
          <w:color w:val="000000" w:themeColor="text1"/>
          <w:sz w:val="18"/>
          <w:szCs w:val="18"/>
        </w:rPr>
      </w:pPr>
    </w:p>
    <w:p>
      <w:pPr>
        <w:pStyle w:val="2"/>
        <w:widowControl w:val="0"/>
        <w:numPr>
          <w:ilvl w:val="0"/>
          <w:numId w:val="0"/>
        </w:numPr>
        <w:snapToGrid w:val="0"/>
        <w:spacing w:line="0" w:lineRule="atLeast"/>
        <w:jc w:val="both"/>
        <w:rPr>
          <w:rFonts w:hint="eastAsia" w:ascii="宋体" w:hAnsi="宋体"/>
          <w:b/>
          <w:color w:val="000000" w:themeColor="text1"/>
          <w:sz w:val="18"/>
          <w:szCs w:val="18"/>
        </w:rPr>
      </w:pPr>
      <w:bookmarkStart w:id="16" w:name="_GoBack"/>
      <w:bookmarkEnd w:id="16"/>
    </w:p>
    <w:p>
      <w:pPr>
        <w:pStyle w:val="2"/>
        <w:widowControl w:val="0"/>
        <w:numPr>
          <w:ilvl w:val="0"/>
          <w:numId w:val="0"/>
        </w:numPr>
        <w:snapToGrid w:val="0"/>
        <w:spacing w:line="0" w:lineRule="atLeast"/>
        <w:jc w:val="both"/>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182995" cy="8745855"/>
            <wp:effectExtent l="0" t="0" r="1905" b="4445"/>
            <wp:docPr id="3" name="图片 3" descr="扫描1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10008"/>
                    <pic:cNvPicPr>
                      <a:picLocks noChangeAspect="1"/>
                    </pic:cNvPicPr>
                  </pic:nvPicPr>
                  <pic:blipFill>
                    <a:blip r:embed="rId6"/>
                    <a:stretch>
                      <a:fillRect/>
                    </a:stretch>
                  </pic:blipFill>
                  <pic:spPr>
                    <a:xfrm>
                      <a:off x="0" y="0"/>
                      <a:ext cx="6182995" cy="8745855"/>
                    </a:xfrm>
                    <a:prstGeom prst="rect">
                      <a:avLst/>
                    </a:prstGeom>
                  </pic:spPr>
                </pic:pic>
              </a:graphicData>
            </a:graphic>
          </wp:inline>
        </w:drawing>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34097B"/>
    <w:multiLevelType w:val="singleLevel"/>
    <w:tmpl w:val="DD3409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77C1F8A"/>
    <w:rsid w:val="2E2C17D3"/>
    <w:rsid w:val="3A007D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2</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2021-03-11T00:11:13Z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